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F-1496/2023 vom 22. März 2023</w:t>
      </w:r>
    </w:p>
    <w:p>
      <w:r>
        <w:t>Bundesverwaltungsgericht, 2023-03-22, FR</w:t>
      </w:r>
    </w:p>
    <w:p>
      <w:r>
        <w:rPr>
          <w:b/>
        </w:rPr>
        <w:t xml:space="preserve">Quelle: </w:t>
      </w:r>
      <w:r>
        <w:t>https://mcp.opencaselaw.ch/entscheid/bvger_F-1496_2023</w:t>
      </w:r>
    </w:p>
    <w:p>
      <w:r>
        <w:t>FR: TAF F-1496/2023 du 22 mars 2023</w:t>
      </w:r>
    </w:p>
    <w:p>
      <w:r>
        <w:t>IT: TAF F-1496/2023 del 22 marzo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 le recours, qui a été interjeté dans la forme et le délai prescrits, est recevable (art. 48 al. 1 et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2017 VI/5 consid. 3.1).</w:t>
      </w:r>
    </w:p>
    <w:p>
      <w:r>
        <w:rPr>
          <w:b/>
        </w:rPr>
        <w:t>E. 2.1</w:t>
      </w:r>
    </w:p>
    <w:p>
      <w:r>
        <w:t>Par un grief d'ordre formel, le recourant a reproché au SEM d'avoir violé la maxime inquisitoire, notamment en ne se conformant pas aux injonctions formulées dans l'arrêt de cassation du TAF, ce qui avait conduit à un établissement incomplet de l'état de fait pertinent.</w:t>
      </w:r>
    </w:p>
    <w:p>
      <w:r>
        <w:rPr>
          <w:b/>
        </w:rPr>
        <w:t>E. 2.2</w:t>
      </w:r>
    </w:p>
    <w:p>
      <w:r>
        <w:t>Tel que déjà mentionné dans l'arrêt F-73/2022 du 14 juillet 2022, les injonctions (considérants) que contient une décision finale sont obligatoires à la fois pour les parties et pour l'autorité inférieure, à laquelle le dossier est retourné, si le dispositif le prévoit (annulation « dans le sens des considérants » ; cf. Benoît Bovay, Procédure administrative, p. 630 et jurisp. cit. ; cf. également arrêts du Tribunal fédéral 2C_647/2021 du 1er novembre 2021 consid. 2.2 ; 8C_502/2018 du 20 septembre 2018 consid. 4.4). Dans un tel cas de figure, l'autorité inférieure doit procéder aux mesures d'instruction complémentaires dans le sens défini par l'arrêt de cassation (cf. arrêt du TAF D-5897/2020 du 19 février 2021 consid. 6.1).</w:t>
      </w:r>
    </w:p>
    <w:p>
      <w:r>
        <w:rPr>
          <w:b/>
        </w:rPr>
        <w:t>E. 2.3</w:t>
      </w:r>
    </w:p>
    <w:p>
      <w:r>
        <w:t>Comme déjà rappelé aussi dans l'arrêt de cassation, malgré l'absence de défaillances systémiques en Bulgarie, le Tribunal a conditionné le transfert des requérants d'asile particulièrement vulnérables vers ce pays à un examen approfondi du cas particulier, afin d'exclure le risque de traitement inhumain et dégradant. Cet examen peut impliquer l'obtention de garanties individuelles et concrètes (cf. arrêt de référence F-7195/2018 du 11 février 2020 consid. 7.4.1 s.).</w:t>
      </w:r>
    </w:p>
    <w:p>
      <w:r>
        <w:rPr>
          <w:b/>
        </w:rPr>
        <w:t>E. 2.4</w:t>
      </w:r>
    </w:p>
    <w:p>
      <w:r>
        <w:t>En l'occurrence, dans son arrêt du 14 juillet 2022, le Tribunal a admis la vulnérabilité particulière du recourant (cf. arrêt du TAF F-73/2022 précité consid. 8.4). A l'appui des considérants de son arrêt, il a ainsi sommé l'autorité intimée d'informer les autorités bulgares de l'état de santé de l'intéressé et de leur demander, préalablement au prononcé d'un éventuel transfert, des garanties précises et individuelles quant aux conditions effectives et concrètes de la prise en charge médicale de celui-ci en Bulgarie, afin d'exclure tout risque de traitement proscrit par l'art. 3 CEDH (RS 0.101 ; cf. arrêt du TAF F-73/2022 précité consid. 8.5.2 et 10.2). Dès lors que le dispositif de cet arrêt (cf. chiffre 2) renvoie sans équivoque à ses considérants, ceux-ci lient tant le Tribunal que le SEM, lequel doit donc s'y conformer. Or, après le renvoi de la cause au SEM, ce dernier s'est limité à adresser une requête d'information générale aux autorités bulgares. Il n'a, de surcroît, pas veillé à leur communiquer, au préalable, les informations en sa possession relatives à la situation médicale du recourant. En outre, étant des affirmations d'ordre général, les réponses fournies par ces autorités ne sauraient nullement être assimilées à des garanties individuelles et concrètes au sens de la jurisprudence précitée. A cet égard, il sied encore de relever que lesdites autorités n'ont pas été en mesure d'indiquer dans quel (type de) centre l'intéressé serait hébergé en cas de transfert - et d'exclure ainsi le placement dans un centre de détention provisoire à la suite du rejet de la demande d'asile sur place - et n'ont, a fortiori, pu donner aucune assurance de prise en charge médicale effective.</w:t>
      </w:r>
    </w:p>
    <w:p>
      <w:r>
        <w:rPr>
          <w:b/>
        </w:rPr>
        <w:t>E. 2.5</w:t>
      </w:r>
    </w:p>
    <w:p>
      <w:r>
        <w:t>Partant, c'est à bon droit que le recourant a soutenu que le SEM n'avait pas observé les directives précises contenues dans l'arrêt de cassation et n'avait pas procédé aux mesures d'instruction complémentaires, jugées pourtant indispensables par le Tribunal. En ne s'exécutant pas et en ne respectant pas les instructions contenues dans l'arrêt précité, l'autorité intimée a, de toute évidence, transgressé le droit fédéral et a constaté, pour la seconde fois, les faits pertinents de la cause de manière incomplète (art. 106 al. 1 let. a et b LAsi). Dans ces conditions, le TAF n'est toujours pas en mesure de se prononcer sur le bien-fondé du transfert du recourant vers la Bulgarie.</w:t>
      </w:r>
    </w:p>
    <w:p>
      <w:r>
        <w:rPr>
          <w:b/>
        </w:rPr>
        <w:t>E. 2.6</w:t>
      </w:r>
    </w:p>
    <w:p>
      <w:r>
        <w:t>Au demeurant, le Tribunal constate que le rapport médical daté du 6 février 2023 mentionne, outre l'état de stress post-traumatique (F43.1) déjà diagnostiqué dans les rapports à disposition au cours de la précédente procédure de recours, un épisode dépressif, épisode actuel moyen (F32.1), « avec une aggravation des symptômes dépressifs » (cf. ledit rapport médical, pièce SEM 85 p. 1). Le suivi médical mis en place est composé d'un traitement psychothérapeutique bimensuel (et non plus hebdomadaire), d'une médication et d'un traitement d'ergothérapie psychiatrique. Il est également précisé que la « création d'une alliance thérapeutique » a nécessité du temps (cf. pièce SEM 85 p. 2). La situation médicale du recourant est ainsi restée, pour l'essentiel, la même que celle qui prévalait lors du prononcé de l'arrêt de cassation, qui avait amené le Tribunal à considérer celui-ci comme une personne particulièrement vulnérable.</w:t>
      </w:r>
    </w:p>
    <w:p>
      <w:r>
        <w:rPr>
          <w:b/>
        </w:rPr>
        <w:t>E. 3.1</w:t>
      </w:r>
    </w:p>
    <w:p>
      <w:r>
        <w:t>Au vu de ce qui précède, il y a lieu d'admettre le présent recours, d'annuler la décision du 6 mars 2023 et de renvoyer la cause au SEM, lequel est enjoint, avant de statuer à nouveau, à procéder correctement à l'instruction de celle-là, en concrétisant et en respectant les considérants de l'arrêt du 14 juillet 2022 (cf. arrêt du TAF F-73/2022 précité notamment consid. 8.5.2 et 10.2).</w:t>
      </w:r>
    </w:p>
    <w:p>
      <w:r>
        <w:rPr>
          <w:b/>
        </w:rPr>
        <w:t>E. 3.2</w:t>
      </w:r>
    </w:p>
    <w:p>
      <w:r>
        <w:t>A toutes fins utiles, le Tribunal rappelle, une nouvelle fois, que ces injonctions sont obligatoires pour le SEM, dans la mesure où le dispositif prévoit une annulation « dans le sens des considérants » (cf. supra, consid. 2.1).</w:t>
      </w:r>
    </w:p>
    <w:p>
      <w:r>
        <w:rPr>
          <w:b/>
        </w:rPr>
        <w:t>E. 4</w:t>
      </w:r>
    </w:p>
    <w:p>
      <w:r>
        <w:t>S'avérant manifestement fondé, le recours est traité dans une procédure à juge unique, avec l'approbation d'un second juge (art. 111 let. e LAsi). Il est dès lors renoncé à un échange d'écritures, le présent arrêt n'étant motivé que sommairement (art. 111a al. 1 et 2 LAsi).</w:t>
      </w:r>
    </w:p>
    <w:p>
      <w:r>
        <w:rPr>
          <w:b/>
        </w:rPr>
        <w:t>E. 5.1</w:t>
      </w:r>
    </w:p>
    <w:p>
      <w:r>
        <w:t>Lorsque l'affaire est renvoyée à l'instance précédente pour nouvelle décision, dont l'issue reste ouverte, la partie recourante est considérée comme ayant obtenu gain de cause, conformément à la jurisprudence du Tribunal fédéral (cf. ATF 146 V 28 consid. 7). Il n'y a dès lors pas lieu de percevoir de frais de procédure (art. 63 al. 1 et 2 PA).</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 Cela dit, le présent cas ayant fait l'objet d'une procédure Dublin et le recourant disposant d'un représentant juridique désigné, il n'y a pas lieu d'allouer de dépens (art. 111ater LAsi).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