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F-1487/2021 vom 25. Februar 2021</w:t>
      </w:r>
    </w:p>
    <w:p>
      <w:r>
        <w:t>Bundesverwaltungsgericht, 2021-02-25, DE</w:t>
      </w:r>
    </w:p>
    <w:p>
      <w:r>
        <w:rPr>
          <w:b/>
        </w:rPr>
        <w:t xml:space="preserve">Quelle: </w:t>
      </w:r>
      <w:r>
        <w:t>https://mcp.opencaselaw.ch/entscheid/bvger_F-1487_2021_d20210225</w:t>
      </w:r>
    </w:p>
    <w:p>
      <w:r>
        <w:t>FR: TAF F-1487/2021 du 25 février 2021</w:t>
      </w:r>
    </w:p>
    <w:p>
      <w:r>
        <w:t>IT: TAF F-1487/2021 del 25 febbraio 2021</w:t>
      </w:r>
    </w:p>
    <w:p>
      <w:pPr>
        <w:pStyle w:val="Heading2"/>
      </w:pPr>
      <w:r>
        <w:t>Regeste</w:t>
      </w:r>
    </w:p>
    <w:p>
      <w:r>
        <w:t>Anerkennung der Staatenlosigkeit | Anerkennung der Staatenlosigkeit; Verfügung des SEM vom 25. Februar 2021</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w:t>
      </w:r>
    </w:p>
    <w:p>
      <w:r>
        <w:t>F-1487/2021 Seite 5 ist grundsätzlich die Sachlage im Zeitpunkt seines Entscheids (BVGE 2020 VII/4 E. 2.2 m.H.).</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 der the operation of its law», «par application de sa législation») als seinen Angehörigen betrachtet. Staatenlosigkeit bedeutet nach dieser Begriffsum- schreibung das Fehlen der rechtlichen Zugehörigkeit zu einem Staat (sog. «de iure»-Staatenlosigkeit). Das Übereinkommen bezieht sich dagegen nicht auf Personen, die zwar formell noch eine Staatsangehörigkeit besit- zen, deren Heimatstaat ihnen aber keinen Schutz mehr gewährt (sog. «de facto»-Staatenlose; vgl. YVONNE BURCKHARDT-ERNE, Die Rechtsstellung der Staatenlosen im Völkerrecht und Schweizerischen Landesrecht, 1977, S. 1 ff. m.H.; BGE 147 II 421 E. 5.1 m.H.; BVGE 2021 VII/8 E. 5.1).</w:t>
      </w:r>
    </w:p>
    <w:p>
      <w:r>
        <w:rPr>
          <w:b/>
        </w:rPr>
        <w:t>E. 3.2</w:t>
      </w:r>
    </w:p>
    <w:p>
      <w:r>
        <w:t>Die Rechtsprechung hält dazu präzisierend fest, dass als staatenlos angesehen werden kann, wem die Staatenlosigkeit nicht zuzurechnen ist, beispielsweise weil er die Staatsangehörigkeit ohne eigenes Zutun verlo- ren hat und diese nicht (wieder-)erlangen kann (BGE 147 II 421 E. 5.3; Urteil des BGer 2C_661/2015 vom 12. November 2015 E. 3.1). Wer dage- 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3.3</w:t>
      </w:r>
    </w:p>
    <w:p>
      <w:r>
        <w:t>Das Verfahren auf Anerkennung der Staatenlosigkeit folgt mangels ei- ner spezialgesetzlichen Regelung dem VwVG und den allgemeinen Grundsätzen des Verwaltungsverfahrensrechts. Es gilt daher die Untersu- chungsmaxime (Art. 12 VwVG), die durch die Mitwirkungspflicht der Par- teien ergänzt wird, namentlich in Verfahren, das die Parteien selber durch ihr Begehren einleiten (Art. 13 Abs. 1 Bst. a VwVG). Misslingt der Beweis einer rechtserheblichen Tatsache, so geht die Beweislosigkeit nach der üb- lichen Beweislastregel zu Lasten dessen, der aus der Tatsache Rechte ab- leitet (p.a. Art. 8 ZGB). Negative Tatsachen, wie hier das Fehlen einer</w:t>
      </w:r>
    </w:p>
    <w:p>
      <w:r>
        <w:t>F-1487/2021 Seite 6 Staatsangehörigkeit, sind kaum beweisbar. Dass eine negative Tatsache anspruchsbegründend ist, ist deshalb bei der Beweiswürdigung und na- mentlich im Rahmen der Anforderungen an die Mitwirkungspflicht der Par- tei zu berücksichtigen, ändert aber nichts an der Verteilung der objektiven Beweislast (vgl. Urteil des BGer 2C_661/2015 vom 12. November 2015 E. 3.2 m.w.H.).</w:t>
      </w:r>
    </w:p>
    <w:p>
      <w:r>
        <w:rPr>
          <w:b/>
        </w:rPr>
        <w:t>E. 4.1</w:t>
      </w:r>
    </w:p>
    <w:p>
      <w:r>
        <w:t>Der Beschwerdeführer behauptet, dass er Kurde aus Syrien sei, und den Maktumin (eigentlich: Maktumin al-Qaid; übersetzt etwa: nicht re- gistrierte Personen; Sg.m.: Maktum) angehöre. Er sei daher staatenlos.</w:t>
      </w:r>
    </w:p>
    <w:p>
      <w:r>
        <w:rPr>
          <w:b/>
        </w:rPr>
        <w:t>E. 4.2</w:t>
      </w:r>
    </w:p>
    <w:p>
      <w:r>
        <w:t>Die Kurden in Syrien sind als grösste nichtarabische Minderheit gene- rell Diskriminierungen ausgesetzt. Im Nachgang zu einer 1962 im Gouver- nement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(wörtlich: Ausländer; Sg.m.: Ajnabi) bezeichnet werden, und schliesslich staatenlose Kurden, die in kei- nem staatlichen Register geführt werden, die sogenannten Maktumin al- Qaid. Bereits die Ajanib sind in Bezug auf ihre politischen Rechte, ihre Be- sitzrechte, ihre Bewegungsfreiheit sowie ihr Recht auf Bildung und freie Berufswahl vielfältigen Einschränkungen ausgesetzt. Immerhin haben sie neuerdings die Möglichkeit einer Einbürgerung. Die rechtliche Situation der Maktumin ist durch eine noch wesentlich weitergehende Rechtlosigkeit ge- kennzeichnet. Die Möglichkeit einer Einbürgerung haben sie nicht, und zum Nachweis ihrer Identität können sie lediglich eine besondere, für Mak- tumin bestimmte Bescheinigung des für sie zuständigen Mukhtars (Orts- vorstehers) erhalten, das sogenannte Erkennungszeugnis «shahadat ta’riif» (vgl. dazu Urteile des BVGer F-819/2020 vom 11. Oktober 2022 E. 4.1; F-5165/2019 vom 26. Februar 2021 E. 4.1; F-4562/2019 vom 9. No- vember 2020 E. 6; je m.H.; ferner etwa European Union Agency for Asylum EUAA, Syria: Targeting of individuals, Country of Origin Information Report, 09.2022, Ziff. 10.1 S. 89 ff., &lt; https://www.ecoi.net/en/docu- ment/2026226.html &gt;, abgerufen am 24.05.2024; European Network on Statelessness / Institute on Statelessness and Inclusion, Statelessness in Syria, 08.2019, &lt; https://statelessjourneys.org/wp-content/uploads/State- lessJourneys-Syria- August-2019.pdf &gt; abgerufen am 24.05.2024).</w:t>
      </w:r>
    </w:p>
    <w:p>
      <w:r>
        <w:t>F-1487/2021 Seite 7</w:t>
      </w:r>
    </w:p>
    <w:p>
      <w:r>
        <w:rPr>
          <w:b/>
        </w:rPr>
        <w:t>E. 4.3</w:t>
      </w:r>
    </w:p>
    <w:p>
      <w:r>
        <w:t>Wegen Zweifeln an seiner Identität und Herkunft veranlasste die Vo- rinstanz im Rahmen des erstinstanzlichen Asylverfahrens eine LINGUA- Begutachtung des Beschwerdeführers. Grundlage bildete ein rund einstün- diges, telefonisch geführtes Gespräch mit dem Beschwerdeführer, das von zwei Experten, einem Sprach- und einem Sprach- und Länderexperten, ausgewertet wurde. Aufgrund gravierender Wissenslücken zur angegebe- nen Herkunftsregion und dialektalen Besonderheiten seines gesprochenen Kurdisch gelangten beide Experten in ihren Gutachten übereinstimmend zum Schluss, dass der Beschwerdeführer eindeutig nicht in Syrien soziali- siert worden sei. Unter anderem hielten sie fest, dass der Beschwerdefüh- rer die Nachbardörfer seines Heimatdorfes nicht lokalisieren könne, ihre Namen falsch ausspreche, seinen eigenen Clan nicht kenne, trotz angeb- lich jahrelanger Mithilfe in der Landwirtschaft keine Ahnung von Getreide- anbau habe, nichts über den Status eines Maktum wisse, einen landes- fremden Dialekt spreche und Ausdrücke verwende, die in der angeblichen Herkunftsregion nicht gebräuchlich seien. Gestützt darauf erachtete es die Vorinstanz in ihrem Asylentscheid als erstellt, dass der Beschwerdeführer die Behörden über seine Identität und Herkunft täusche und entgegen sei- ner Behauptung ausserhalb Syriens gelebt haben müsse. In dem sich anschliessenden Rechtsmittelverfahren überprüfte das Bun- desverwaltungsgericht die Frage der Herkunft des Beschwerdeführers und den Beweiswert der LINGUA-Gutachten eingehend, bestätigte seine Be- weiskraft und kam in seinem Urteil vom 2. November 2010 mit der Vo- rinstanz zum Ergebnis, dass der Beschwerdeführer nicht aus Syrien stamme. Eine syrische Herkunft des Beschwerdeführers müsse mit Sicher- heit ausgeschlossen werden. Seine Behauptung, wonach er von Geburt an bis zur Ausreise im September 2008 in Tel Khinzir, Syrien, gelebt habe, sei somit als tatsachenwidrig zu erachten; eine syrische Herkunft sei mit Si- cherheit auszuschliessen. Angesichts der gesamten Umstände müsse da- von ausgegangen werden, der Beschwerdeführer mit seinen Angaben be- absichtigt habe, die Asylbehörden über seine tatsächliche Herkunft zu täu- schen. Die zusammen mit der Beschwerde im Original eingereichte angeb- liche Identitätsbestätigung, ein vom 6. Mai 2006 vom Mukhtar des Dorfes Tel Khinzir Tahtani ausgestelltes Erkennungszeugnis für Maktumin (SEM 1 act. A35), vermöge an diesem Ergebnis nichts zu ändern.</w:t>
      </w:r>
    </w:p>
    <w:p>
      <w:r>
        <w:rPr>
          <w:b/>
        </w:rPr>
        <w:t>E. 4.3.1</w:t>
      </w:r>
    </w:p>
    <w:p>
      <w:r>
        <w:t>Es besteht kein Grund, im Verfahren auf Anerkennung der Staaten- losigkeit von der Beurteilung durch die Asylbehörden abzuweichen. Abge- sehen davon, dass der Beschwerdeführer im verfahrenseinleitenden Ge- such um Anerkennung der Staatenlosigkeit die Begriffe des Maktum und</w:t>
      </w:r>
    </w:p>
    <w:p>
      <w:r>
        <w:t>F-1487/2021 Seite 8 des Ajnabi nebeneinander auf sich anwandte, ist sein Versuch, die Un- kenntnis des Maktum-Status mit seinem geringen Bildungsstand und der fehlenden Relevanz für sein Alltagsleben zu erklären, nicht überzeugend. Die Zugehörigkeit zu den Maktumin hat für betroffene Personen eine exis- tentielle, alle Lebensbereiche umfassende Bedeutung. Es ist kaum vor- stellbar, dass sie dem Beschwerdeführer verborgen geblieben wäre, wäre er tatsächlich ein Maktum. Dass weder die irakischen noch die türkischen Behörden in der Lage sind, den Beschwerdeführer als eigenen Staatsan- gehörigen zu identifizieren, wie dieser behauptet und im Fall Iraks durch eine Bestätigung der irakischen Botschaft in der Schweiz zu belegen sucht (Beilage 4 zu Rek-act. 1), erstaunt nicht weiter, erfolgte die Anfrage doch offensichtlich auf der Grundlage einer Identität, die als nicht glaubhaft be- wertet wird. Schliesslich sind die vom Beschwerdeführer neu eingereichten syrischen Dokumente, eine «Identitätsbestätigung» (SEM-2-act. 3, Bei- lage 1 zu Rek-act. 1) und ein «Wohnbestätigungsprotokoll» (SEM-2-act. 3), beide ausgestellt vom Mukhtar des Quartiers al-Wihda der Stadt al-Malikiya, nicht geeignet, seine Identität und Herkunft zu belegen. Zum einen kommt syrischen Dokumenten dieser Art nur eine geringe Be- weiskraft zu (vgl. dazu etwa Urteil des BVGer F-819/2020 vom 11. Oktober 2022 E. 4.2 m.H.). Zum anderen weisen die Dokumente, wie die Vorinstanz zu Recht feststellt, erhebliche formale Mängel und inhaltliche Widersprü- che zu den Angaben des Beschwerdeführers auf. Soweit der Beschwerde- führer in seiner Rechtsmittelschrift auf diese Ungereimtheiten überhaupt eingeht, so offenbart er ein weiteres Mal seine Unkenntnis der örtlichen Verhältnisse (angebliche Angliederung des Dorfes Tel Khinzir an die rund 40 Kilometer entfernte Stadt al-Malikiya als Erklärung, weshalb in den offi- ziellen Dokumenten als sein Geburts- und Wohnort nicht sein Heimatdorf, sondern die Stadt al-Malikiya genannt wird). Im Übrigen genügt es, auf die ausführlichen und zutreffenden Ausführungen der Vorinstanz in der ange- fochtenen Verfügung zu verweisen.</w:t>
      </w:r>
    </w:p>
    <w:p>
      <w:r>
        <w:rPr>
          <w:b/>
        </w:rPr>
        <w:t>E. 4.4</w:t>
      </w:r>
    </w:p>
    <w:p>
      <w:r>
        <w:t>Der Vollständigkeit halber ist darauf hinzuweisen, dass der Beschwer- deführer zusammen mit der Beschwerde gegen den negativen Asylbe- scheid ein amtliches syrisches Dokument vom 27. August 2008 vorlegte, das er selbst als «Vorladungsausweis» bezeichnete und aus dem hervor- geht, dass er syrischer Staatsangehöriger ist (SEM-1-act. A35).</w:t>
      </w:r>
    </w:p>
    <w:p>
      <w:r>
        <w:rPr>
          <w:b/>
        </w:rPr>
        <w:t>E. 4.5</w:t>
      </w:r>
    </w:p>
    <w:p>
      <w:r>
        <w:t>Zusammenfassend ist nach wie vor davon auszugehen, dass der Be- schwerdeführer die schweizerischen Behörden über seine Herkunft und Identität täuscht. Angesichts der eindeutigen Beweislage kann zudem in antizipierter Beweiswürdigung ausgeschlossen werden, dass weitere</w:t>
      </w:r>
    </w:p>
    <w:p>
      <w:r>
        <w:t>F-1487/2021 Seite 9 Beweiserhebungen, etwa in Form einer erneuten LINGUA-Begutachtung, an welcher der Beschwerdeführer seine Mitwirkung anbietet, zusätzliche Aufschlüsse über den rechtserheblichen Sachverhalt bringen würden. Da- rauf kann ohne Verletzung des Anspruchs auf rechtliches Gehör bezie- hungsweise der Pflicht zur korrekten Sachverhaltsfeststellung verzichtet werden (zur antizipierten Beweiswürdigung vgl. z.B. BGE 144 II 427 E. 3.1 und 3.1.3 m.w.H.). Es ist nicht davon auszugehen, dass der Beschwerdeführer staatenlos ist.</w:t>
      </w:r>
    </w:p>
    <w:p>
      <w:r>
        <w:rPr>
          <w:b/>
        </w:rPr>
        <w:t>E. 5</w:t>
      </w:r>
    </w:p>
    <w:p>
      <w:r>
        <w:t>Aus den vorstehenden Erwägungen ergibt sich, dass die angefochtene Verfügung zu Recht ergangen ist (Art. 49 VwVG). Die Beschwerde ist dem- zufolge abzuweisen.</w:t>
      </w:r>
    </w:p>
    <w:p>
      <w:r>
        <w:rPr>
          <w:b/>
        </w:rPr>
        <w:t>E. 6</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(Dispositiv nächste Seite)</w:t>
      </w:r>
    </w:p>
    <w:p>
      <w:r>
        <w:t>F-1487/2021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