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F-1487/2019 vom 4. Januar 2021</w:t>
      </w:r>
    </w:p>
    <w:p>
      <w:r>
        <w:t>Bundesverwaltungsgericht, 2021-01-04, FR</w:t>
      </w:r>
    </w:p>
    <w:p>
      <w:r>
        <w:rPr>
          <w:b/>
        </w:rPr>
        <w:t xml:space="preserve">Quelle: </w:t>
      </w:r>
      <w:r>
        <w:t>https://mcp.opencaselaw.ch/entscheid/bvger_F-1487_2019</w:t>
      </w:r>
    </w:p>
    <w:p>
      <w:r>
        <w:t>FR: TAF F-1487/2019 du 4 janvier 2021</w:t>
      </w:r>
    </w:p>
    <w:p>
      <w:r>
        <w:t>IT: TAF F-1487/2019 del 4 gennaio 2021</w:t>
      </w:r>
    </w:p>
    <w:p>
      <w:pPr>
        <w:pStyle w:val="Heading2"/>
      </w:pPr>
      <w:r>
        <w:t>Regeste</w:t>
      </w:r>
    </w:p>
    <w:p>
      <w:r>
        <w:t>Interdiction d'entrée</w:t>
      </w:r>
    </w:p>
    <w:p>
      <w:pPr>
        <w:pStyle w:val="Heading2"/>
      </w:pPr>
      <w:r>
        <w:t>Erwägungen</w:t>
      </w:r>
    </w:p>
    <w:p>
      <w:r>
        <w:rPr>
          <w:b/>
        </w:rPr>
        <w:t>E. 6</w:t>
      </w:r>
    </w:p>
    <w:p>
      <w:r>
        <w:t>Il ressort de ce qui précède que, par sa décision du 14 février 2019, l'autorité intimée n'a ni violé le droit fédéral, ni constaté des faits pertinents de manière inexacte ou incomplète ; en outre, la décision attaquée n'est pas inopportune (cf. art. 49 PA). En conséquence, le recours est rejeté.</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Le recourant n'ayant pas eu gain de cause, il ne lui est pas alloué de dépens (cf. art. 64 al. 1 PA a contrario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