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F-1476/2018 vom 31. Oktober 2018</w:t>
      </w:r>
    </w:p>
    <w:p>
      <w:r>
        <w:t>Bundesverwaltungsgericht, 2018-10-31, DE</w:t>
      </w:r>
    </w:p>
    <w:p>
      <w:r>
        <w:rPr>
          <w:b/>
        </w:rPr>
        <w:t xml:space="preserve">Quelle: </w:t>
      </w:r>
      <w:r>
        <w:t>https://mcp.opencaselaw.ch/entscheid/bvger_F-1476_2018</w:t>
      </w:r>
    </w:p>
    <w:p>
      <w:r>
        <w:t>FR: TAF F-1476/2018 du 31 octobre 2018</w:t>
      </w:r>
    </w:p>
    <w:p>
      <w:r>
        <w:t>IT: TAF F-1476/2018 del 31 ottobre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3.1 Vorab ist auf die Rüge des Beschwerdeführers einzugehen, die Vor-instanz habe sich wohl kaum mit der Stellungnahme zum rechtlichen Gehör auseinandergesetzt. Diese sei am 5. Februar 2018 versendet worden und sei somit frühestens am 6. Februar 2018 beim Migrationsamt Aargau eingegangen. Am 7. Februar 2018 sei dann aber bereits das Einreiseverbot verfügt worden. Selbst wenn die Vorinstanz die Stellungnahme auf dem elektronischen Weg erhalten haben sollte, wäre diese frühestens einen Tag vor Entscheidfällung eingegangen. Dies sei kaum genügend Zeit, um sich gründlich mit den Ausführungen auseinandersetzen zu können.</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w:t>
      </w:r>
    </w:p>
    <w:p>
      <w:r>
        <w:t>Aus der Begründung der angefochtenen Verfügung geht ohne Weiteres hervor, aus welchem Grund die Vorinstanz ein dreijähriges Einreiseverbot erlassen hat, verweist sie doch auf die mehrfache Delinquenz des Beschwerdeführers und führt die Delikte des Urteils vom 12. März 2013 explizit auf. Die Ausführungen betreffend die Würdigung der Angaben, welche im Rahmen des rechtlichen Gehörs gemacht wurden, sind mit der Aussage, sie würden keinen anderen Entscheid rechtfertigen und mit dem Verweis auf die Möglichkeit der Suspension des Einreiseverbots, zwar knapp ausgefallen. Dies liegt jedoch nicht an der Zeitspanne von einem Tag, um die Stellungnahme zu prüfen, welche als genügend erachtet wird, sondern daran, dass das Einreiseverbot zu den quantitativ häufigsten Anordnungen der schweizerischen Verwaltungspraxis zählt und das SEM als erstinstanzliche Behörde speditiv zu entscheiden hat. An die Begründungsdichte dürfen deshalb keine überspannten Anforderungen gestellt werden (vgl. Urteil des BVGer F-4156/2016 vom 8. Dezember 2017 E. 3.4 m.H.). Eine Verletzung des Anspruchs auf rechtliches Gehör liegt somit nicht vor. Selbst wenn eine Gehörsverletzung vorgelegen hätte, hätte ein Mangel mit einer Vernehmlassung geheilt werden können (vgl. zur Heilung von Gehörsverletzungen BGE 137 I 195 E. 2.3.2; BVGE 2012/24 E. 3.4).</w:t>
      </w:r>
    </w:p>
    <w:p>
      <w:r>
        <w:rPr>
          <w:b/>
        </w:rPr>
        <w:t>E. 4.1</w:t>
      </w:r>
    </w:p>
    <w:p>
      <w:r>
        <w:t>Das SEM kann gestützt auf Art. 67 Abs. 2 AuG Einreiseverbote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4.2</w:t>
      </w:r>
    </w:p>
    <w:p>
      <w:r>
        <w:t>Das in Art. 67 AuG geregelte Einreiseverbot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Zur Verhängung eines Einreiseverbots müssen jedoch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F-6220/2016 vom 17. Mai 2018 E. 3.3 m.H.).</w:t>
      </w:r>
    </w:p>
    <w:p>
      <w:r>
        <w:rPr>
          <w:b/>
        </w:rPr>
        <w:t>E. 5</w:t>
      </w:r>
    </w:p>
    <w:p>
      <w:r>
        <w:t>Wird gegen eine Person, die nicht die Staatsangehörigkeit eines Mitgliedstaates besitzt (Drittstaatsangehörige),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28.12.2006).</w:t>
      </w:r>
    </w:p>
    <w:p>
      <w:r>
        <w:rPr>
          <w:b/>
        </w:rPr>
        <w:t>E. 6</w:t>
      </w:r>
    </w:p>
    <w:p>
      <w:r>
        <w:t>6.1 Die Vorinstanz stützte ihren Entscheid darauf, dass der Beschwerdeführer durch seine mehrfache Delinquenz wiederholt, erheblich und unbeeindruckt von strafrechtlichen Sanktionen die Rechtsordnung missachtet habe. Diese Delikte würden einen schweren Verstoss gegen die Rechtsordnung darstellen, womit eine schwer wiegende Gefährdung der öffentlichen Sicherheit und Ordnung einhergehe.</w:t>
      </w:r>
    </w:p>
    <w:p>
      <w:r>
        <w:rPr>
          <w:b/>
        </w:rPr>
        <w:t>E. 6.2</w:t>
      </w:r>
    </w:p>
    <w:p>
      <w:r>
        <w:t>Im Zeitraum zwischen 2006 bis Dezember 2015 wurde der Beschwerdeführer neunmal wegen folgender Delikte verurteilt: zweimal von der Jugendanwaltschaft wegen geringfügigen Diebstahls und unerlaubten Führens von Motorfahrrädern, wegen mehrfacher grober Verkehrsregelverletzung, Beschimpfung und Verkehrsregelverletzung, Gewalt und Drohung gegen Behörden und Beamte sowie Hinderung einer Amtshandlung, weitere dreimal wegen Verkehrsregelverletzung, einfacher Körperverletzung, versuchter schwerer Körperverletzung, Raufhandel und Übertretung des BetmG. Er wurde insgesamt zu 130 Tagessätzen und 24 Monaten Freiheitsstrafe sowie Bussen von Fr. 2'420.- bestraft (vgl. Bst. B - C und E - I).</w:t>
      </w:r>
    </w:p>
    <w:p>
      <w:r>
        <w:rPr>
          <w:b/>
        </w:rPr>
        <w:t>E. 6.3</w:t>
      </w:r>
    </w:p>
    <w:p>
      <w:r>
        <w:t>Angesichts der wiederholten Missachtung der Rechtsordnung hat der Beschwerdeführer gegen die öffentliche Sicherheit und Ordnung im Sinne von Art. 67 Abs. 2 Bst. a AuG verstossen. Der Beschwerdeführer hat strafbare Handlungen gegen Leib und Leben (Körperverletzung, Raufhandel) begangen. Eine Störung der öffentlichen Sicherheit und Ordnung durch diese Delikte könnte schon allein angesichts der Hochwertigkeit der involvierten Rechtsgüter als Grundlage für die Annahme einer schwerwiegenden Gefahr im Sinne von Art. 67 Abs. 3 zweiter Satz AuG dienen (BGE 139 II 121 E. 6.3 in fine). Dem Strafurteil des Bezirksgerichts Brugg vom 12. März 2013 kann entnommen werden, dass der Beschwerdeführer eine hohe Gewaltbereitschaft an den Tag gelegt habe. So sei er beim Raufhandel im Februar 2011 offenbar kaum noch zu bändigen gewesen und habe vom verletzten und wehrlosen Opfer weggezerrt werden müssen, um dieses vor weiteren schweren Verletzungen zu bewahren (kant.-pag. 279). Erschwerend kommt hinzu, dass der Beschwerdeführer mehrmals delinquiert hat. Zwar trifft es zu dass die Straftaten gegen Leib und Leben inzwischen siebeneinhalb Jahre zurückliegen (kant.-pag. 279). Zudem war er damals zwischen 19 und 21 Jahre alt und gehörte somit einer Altersgruppe an, deren Persönlichkeitsentwicklung nicht abgeschlossen ist und sich regelmässig noch positiv beeinflussen lässt. Demgegenüber zeigte sich der Beschwerdeführer trotz ausländerrechtlicher Verwarnungen und laufender Probezeiten uneinsichtig, indem er weiter delinquierte und besonders hochwertige Rechtsgüter (körperliche Integrität) verletzte. Es ist somit im Laufe der Jahre auch eine Steigerung bei der Schwere der Delinquenz (insbesondere bei den verletzten Rechtsgütern) festzustellen. Selbst nach der Verurteilung vom 12. März 2013, aufgrund welcher das Verfahren des Widerrufs der Niederlassungsbewilligung und der Wegweisung ausgelöst wurde, ergingen weitere zwei Strafbefehle wegen Verkehrsdelikten gegen ihn. So wurde er zuletzt im August 2015 straffällig (kant.-pag. 314). Das Bundesgericht erachtet deshalb ein künftiges Wohlverhalten des Beschwerdeführers als wenig glaubwürdig (vgl. kant.-pag. 458 E. 3.3.2). Dieser Einschätzung kann auch ein knappes halbes Jahr später grundsätzlich gefolgt werden, wobei der Zeitablauf im Rahmen der Verhältnismässigkeitsprüfung zu berücksichtigen ist. Insgesamt ist weiterhin auf eine vom Beschwerdeführer ausgehende Gefahr für die öffentliche Sicherheit und Ordnung zu schliessen (vgl. Art. 80 Abs. 2 VZAE).</w:t>
      </w:r>
    </w:p>
    <w:p>
      <w:r>
        <w:rPr>
          <w:b/>
        </w:rPr>
        <w:t>E. 7.1</w:t>
      </w:r>
    </w:p>
    <w:p>
      <w:r>
        <w:t>Den Entscheid darüber, ob ein Einreiseverbot anzuordnen und wie es innerhalb des zulässigen zeitlichen Rahmens zu befristen ist, legt Art. 67 Abs. 2 AuG in das pflichtgemässe Ermessen der Behörde. Dabei steht der Grundsatz der Verhältnismässigkeit im Vordergrund. Es ist demnach eine Abwägung zwischen dem öffentlichen Interesse an der Massnahme und den beeinträchtigten privaten Interessen des Betroffenen vorzunehmen. Ausgangspunkt der Überlegungen bilden die Stellung der verletzten oder gefährdeten Rechtsgüter, die Besonderheiten des ordnungswidrigen Verhaltens und die persönlichen Verhältnisse des Verfügungsbelasteten (Art. 96 AuG; ferner vgl. statt vieler Häfelin/Müller/Uhlmann, Allgemeines Verwaltungsrecht, 7. Aufl. 2016, Rz. 555 ff.).</w:t>
      </w:r>
    </w:p>
    <w:p>
      <w:r>
        <w:rPr>
          <w:b/>
        </w:rPr>
        <w:t>E. 7.2</w:t>
      </w:r>
    </w:p>
    <w:p>
      <w:r>
        <w:t>Aufgrund der vom Beschwerdeführer nach wie vor ausgehenden Gefahr für die öffentliche Sicherheit und Ordnung (vgl. E. 6.3) besteht weiterhin ein öffentliches Interesse an dessen Fernhaltung. Das Verhalten des Beschwerdeführers begründet ein objektives, generalpräventiv motiviertes Interesse an einer Fernhaltemassnahme, soll doch ein Einreiseverbot andere Ausländerinnen und Ausländer angesichts der nachteiligen Folgen dazu anhalten, sich an die ausländerrechtliche Ordnung der Schweiz zu halten. Zum anderen liegt eine spezialpräventive Zielsetzung der Massnahme darin, den Beschwerdeführer zu ermahnen, bei einer allfälligen künftigen Wiedereinreise nach dem Ablauf des Einreiseverbots die für ihn geltenden Regeln einzuhalten. Grundsätzlich besteht somit ein öffentliches Interesse an seiner befristeten Fernhaltung.</w:t>
      </w:r>
    </w:p>
    <w:p>
      <w:r>
        <w:rPr>
          <w:b/>
        </w:rPr>
        <w:t>E. 7.3</w:t>
      </w:r>
    </w:p>
    <w:p>
      <w:r>
        <w:t>Daran vermag auch das geltend gemachte Wohlverhalten des Beschwerdeführers während der Haftdauer nichts zu ändern. Gemäss konstanter Rechtsprechung des Bundesverwaltungsgerichts kommt dem Wohlverhalten einer Person im Straf- oder Massnahmenvollzug als Basis für die Beurteilung der Rückfallgefahr keine signifikante Aussagekraft zu. Von vorrangiger Bedeutung erscheint stattdessen, wie lange sich eine straffällig gewordene Person nach ihrer Entlassung aus der Haft in Freiheit bewährt (vgl. BVGE 2014/20 E. 5.4 m.H.). Dem Wohlverhalten während einer laufenden Probezeit ist zudem nur untergeordnete Bedeutung beizumessen (Urteil des BGer 2C_191/2014 vom 27. Februar 2014 E. 3.3.2). Der Beschwerdeführer trat am 8. Januar 2016 den Strafvollzug im Bezirksgefängnis Zurzach an (Halbgefangenschaft), aus welcher er am 7. Mai 2016 entlassen wurde. Die einjährige Probezeit ist am 6. Mai 2017 abgelaufen, womit sich die seither verstrichene Zeit als zu kurz erweist, als dies am öffentlichen Interesse an einer Fernhaltung etwas zu ändern vermag (kant.-pag. 344 - 345). 7.47.4.1 Den öffentlichen Interessen stellt der Beschwerdeführer seine privaten Interessen an persönlichen Kontakten zu seinen in der Schweiz lebenden Verwandten und seiner Verlobten, welche Schweizerin sei. Des Weiteren brachte er vor, er habe seit seinem dritten Lebensjahr in der Schweiz gelebt. 7.4.2 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verlassen. Die Wohnsitznahme in der Schweiz wie auch die Pflege regelmässiger persönlicher Kontakte zu seinen in der Schweiz lebenden Familienmitgliedern scheitern daher grundsätzlich bereits an einem fehlenden Aufenthaltsrecht. Eine allfällige neue Bewilligung im Rahmen eines möglichen Familiennachzugs ist nicht Gegenstand dieses Verfahrens. Hierfür ist der Kanton zuständig, wobei das Einreiseverbot im Falle einer Bewilligungserteilung aufzuheben wäre (vgl. BVGE 2014/20 E. 8.3.4 m.H.). Es kann sich vorliegend nur die Frage stellen, ob der über den Verlust des Aufenthaltsrechts hinausgehende, durch das Einreiseverbot zusätzlich bewirkte Eingriff in die Interessen des Beschwerdeführers einer rechtlichen Prüfung standhält. Diese Erschwernis besteht nicht in einem absoluten Verbot der Einreise während der Geltungsdauer der Massnahme. Die Erschwernis äussert sich vielmehr darin, dass der Beschwerdeführer von den ordentlichen, für kosovarische Staatsangehörige geltenden Einreisebestimmungen ausgenommen und einem besonderen, mit dem Einreiseverbot einhergehenden Kontrollregime unterworfen wird. Das heisst, dass er für bewilligungsfreie Kurzaufenthalte in der Schweiz nicht nur eines Visums bedarf, wie es kosovarische Staatsangehörige im Allgemeinen benötigen, sondern er muss darüber hinaus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der Beschwerdeführer weiterhin die Möglichkeit, Beziehungen zu Personen in der Schweiz auf schweizerischem Hoheitsgebiet zu pflegen. Kontakte ausserhalb des Schengen-Raums bzw. auf andere Weise als durch persönliche Treffen sind von der Massnahme nicht betroffen (vgl. BVGE 2013/4 E. 7.4.3 m.H.). 7.4.3 Die Pflege regelmässiger Kontakte zu seinen Familienmitgliedern und zu seiner Verlobten scheitert - wie eben dargetan - bereits am fehlenden Bleiberecht. Zu seinen privaten Interessen ist ausserdem zu bemerken, dass er zwar zwischen seinem 3. und seinem 27. Lebensjahr in der Schweiz lebte und hier seine Kindheit sowie die für Jugendliche bzw. junge Erwachsene prägenden Jahre verbrachte. Gleichwohl kann angesichts der wiederholten Missachtung der hiesigen Rechtsordnung nicht von einer erfolgreichen Integration gesprochen werden (vgl. Art. 4 Bst. a der Verordnung vom 24. Oktober 2007 über die Integration von Ausländerinnen und Ausländern [VIntA; SR 142.205]). Weiter gilt es zu bemerken, dass weder seine Familie oder die Verlobte ihn auf dem rechten Weg zu halten vermochten bzw. sein ungebührliches Verhalten verhindern konnten.</w:t>
      </w:r>
    </w:p>
    <w:p>
      <w:r>
        <w:rPr>
          <w:b/>
        </w:rPr>
        <w:t>E. 7.5</w:t>
      </w:r>
    </w:p>
    <w:p>
      <w:r>
        <w:t>Trotz der vorstehenden Einschränkungen und Relativierungen ist nicht zu verkennen, dass das mit dem Einreiseverbot verbundene besondere Kontrollregime den Beschwerdeführer erheblich trifft. Diese Betroffenheit vermag jedoch das öffentliche Interesse an einer dreijährigen Fernhaltung des Beschwerdeführers nicht entscheidend zurückzudrängen. Eine wertende Gewichtung der sich gegenüberstehenden Interessen führt das Bundesverwaltungsgericht vielmehr zum Ergebnis, dass die Vorinstanz die persönlichen Interessen hinreichend berücksichtigt hat, indem sie das Einreiseverbot auf drei Jahre beschränkte. Es ist demzufolge zu bestätigen. Ohne die vorliegenden persönlichen Interessen des Beschwerdeführers wäre die Vorinstanz im Lichte der Rechtsprechung dazu berechtigt gewesen, ein längeres Einreiseverbot auszusprechen. Die Frage einer reformatio in pejus kann in casu somit offen bleiben. Der Vollständigkeit halber ist darauf hinzuweisen, dass die Vorinstanz dem Beschwerdeführer eine schwerwiegende Gefährdung der öffentlichen Sicherheit und Ordnung gemäss Art. 67 Abs. 3 Satz 2 vorwirft. Nachdem die Dauer des Einreiseverbots unter fünf Jahren bleibt, erweist sich dieser Begründungsbestandteil als technisch unzutreffend, was aber am Endergebnis nichts zu ändern vermag. 8.Abschliessend gilt es, die Rechtsmässigkeit der von der Vorinstanz angeordneten Ausschreibung des Einreiseverbots im SIS zu prüfen. 8.1 Durch die vorinstanzliche Anordnung der Ausschreibung des Einreiseverbots im SIS wird dem Beschwerdeführer grundsätzlich die Einreise in das Hoheitsgebiet aller Mitgliedstaaten verboten (vgl. Art. 5 Abs. 1 Bst. d sowie Art. 13 Abs. 1 Schengener Grenzkodex). 8.2 Der darin liegende Eingriff in die Rechtsstellung des Beschwerdeführers ist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28.12.2006,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 9.Aus diesen Erwägungen ergibt sich, dass die angefochtene Verfügung im Lichte von Art. 49 VwVG nicht zu beanstanden ist. Die Beschwerde ist so-mit abzuweisen. 10.Entsprechend dem Ausgang des Verfahrens sind dem Beschwerdeführer die Kosten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