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F-1473/2016 vom 15. Mai 2017</w:t>
      </w:r>
    </w:p>
    <w:p>
      <w:r>
        <w:t>Bundesverwaltungsgericht, 2017-05-15, DE</w:t>
      </w:r>
    </w:p>
    <w:p>
      <w:r>
        <w:rPr>
          <w:b/>
        </w:rPr>
        <w:t xml:space="preserve">Quelle: </w:t>
      </w:r>
      <w:r>
        <w:t>https://mcp.opencaselaw.ch/entscheid/bvger_F-1473_2016</w:t>
      </w:r>
    </w:p>
    <w:p>
      <w:r>
        <w:t>FR: TAF F-1473/2016 du 15 mai 2017</w:t>
      </w:r>
    </w:p>
    <w:p>
      <w:r>
        <w:t>IT: TAF F-1473/2016 del 15 maggio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vollständigoder vorübergehend aufheben (Abs. 5).</w:t>
      </w:r>
    </w:p>
    <w:p>
      <w:r>
        <w:rPr>
          <w:b/>
        </w:rPr>
        <w:t>E. 3.2</w:t>
      </w:r>
    </w:p>
    <w:p>
      <w:r>
        <w:t>Das Einreiseverbot ist keine Sanktion für vergangenes Fehlverhalten,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Schweizer/Sutter/Widmer, in: Rainer J. Schweizer [Hrsg.], Sicherheits- und Ordnungsrecht des Bundes, SBVR Bd. III/1, Basel 2008, Teil B Rz. 13 m.H.). In diesem Sinne liegt nach Art. 80 Abs. 1 Bst. a VZAE ein Verstoss gegen die öffentliche Sicherheit und Ordnung unter anderem dann vor, wenn gesetzliche Vorschriften oder behördliche Verfügungen missachtet werden. Darunter fällt auch die Zuwiderhandlung gegen Normen des Ausländerrechts. Es genügt dabei,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Behörde zu informieren (vgl. Urteil des BVGer C-6993/2014 vom 30. März 2015 E. 3.3 m.H.).</w:t>
      </w:r>
    </w:p>
    <w:p>
      <w:r>
        <w:rPr>
          <w:b/>
        </w:rPr>
        <w:t>E. 3.4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II) zur Einreiseverweigerung ausgeschrieben (vgl. Art. 21 und 24 der Verordnung [EG] Nr. 1987/2006 vom 20. Dezember 2006 über die Einrichtung, den Betrieb und die Nutzung des Schengener Informationssystems der zweiten Generation, [SIS-II-Verordnung,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Die Mitgliedstaaten können ihr aus wichtigen Gründen oder aufgrund internationaler Verpflichtungen die Einreise gestatten bzw. ein Visum mit räumlich beschränkter Gültigkeit ausstellen (vgl. Art. 6 Abs. 5 Bst. c SGK und Art. 25 Abs. 1 Bst. a Visakodex).</w:t>
      </w:r>
    </w:p>
    <w:p>
      <w:r>
        <w:rPr>
          <w:b/>
        </w:rPr>
        <w:t>E. 4.1</w:t>
      </w:r>
    </w:p>
    <w:p>
      <w:r>
        <w:t>Die Vorinstanz stützt sich auf Art. 67 Abs. 2 Bst. a AuG und macht geltend, der Beschwerdeführer sei in der Schweiz ohne entsprechende Bewilligung erwerbstätig gewesen. Die Ausübung einer solchen unbewilligten Erwerbstätigkeit verbunden mit illegalem Aufenthalt stelle einen Verstoss gegen die Gesetzgebung dar, womit eine ernsthafte Gefährdung der öffentlichen Sicherheit und Ordnung einhergehe.</w:t>
      </w:r>
    </w:p>
    <w:p>
      <w:r>
        <w:rPr>
          <w:b/>
        </w:rPr>
        <w:t>E. 4.2</w:t>
      </w:r>
    </w:p>
    <w:p>
      <w:r>
        <w:t>Der Beschwerdeführer bringt in seiner Rechtsmitteleingabe vom 7. März 2016 gegen das Einreiseverbot vor, die Vorinstanz habe das tatsächliche Geschehen vom 2. Februar 2016 in rechtlicher Hinsicht falsch gewürdigt. Er gibt zwar zu, für seinen überlasteten "Schwager" und Inhaber sowie Geschäftsführer der Firma XY._______ GmbH in Basel "Gefälligkeitsfahrten" verrichtet zu haben, bestreitet aber die rechtliche Qualifikation seiner Hilfestellung als bewilligungspflichtige Erwerbstätigkeit.</w:t>
      </w:r>
    </w:p>
    <w:p>
      <w:r>
        <w:rPr>
          <w:b/>
        </w:rPr>
        <w:t>E. 4.3</w:t>
      </w:r>
    </w:p>
    <w:p>
      <w:r>
        <w:t>Zu den Rechtsstandpunkten der Vorinstanz und des Beschwerdeführers nimmt das Bundesverwaltungsgericht wie folgt Stellung:</w:t>
      </w:r>
    </w:p>
    <w:p>
      <w:r>
        <w:rPr>
          <w:b/>
        </w:rPr>
        <w:t>E. 4.3.1</w:t>
      </w:r>
    </w:p>
    <w:p>
      <w:r>
        <w:t>Die vorab erhobene Rüge des Beschwerdeführers, wonach der Strafbefehl im Zeitpunkt des Erlasses der angefochtenen Verfügung nicht rechtskräftig gewesen sei, ist nicht stichhaltig. Das Einreiseverbot knüpft direkt an die Störung der öffentlichen Sicherheit und Ordnung an und nicht an die Ahndung dieser Störung durch den Strafrichter. Ob eine solche Störung vorliegt, entscheidet die Migrationsbehörde grundsätzlich in eigener Zuständigkeit und Verantwortung. Im Interesse der Rechtssicherheit und Rechtseinheit wird sie jedoch nicht ohne Not von den tatsächlichen Feststellungen des Strafrichters abweichen (vgl. statt vieler Urteil des BVGer C-5556/2014 vom 28. Mai 2015 E. 4.2 m.H.) und - sofern keine Gefahr im Verzug ist - den rechtskräftigen Abschluss des Strafverfahrens abwarten. Etwas anderes gilt, wenn der Sachverhalt unbestritten ist oder aufgrund der Akten keine Zweifel an ihm bestehen (vgl. Urteile des BVGer C-3974/2013 vom 5. Mai 2014 E. 5.3 und C-5157/2013 vom 27. Januar 2014 E. 8.1 je m.H.). In casu dreht sich der Streit nicht um den Sachverhalt, dieser ist grundsätzlich unbestritten, sondern um seine rechtliche Würdigung. Es bestand daher für die Vorinstanz kein Anlass, die Rechtskraft des Straferkenntnisses abzuwarten.</w:t>
      </w:r>
    </w:p>
    <w:p>
      <w:r>
        <w:rPr>
          <w:b/>
        </w:rPr>
        <w:t>E. 4.3.2</w:t>
      </w:r>
    </w:p>
    <w:p>
      <w:r>
        <w:t>Für die Qualifikation der in der fraglichen Firma seines "Schwagers" geleisteten Chauffeur- und Kurierdienste als Erwerbstätigkeit ist nicht entscheidend, ob der Beschwerdeführer ein Entgelt bezog. Denn als Erwerbstätigkeit im Sinne des Gesetzes gilt jede üblicherweise gegen Entgelt ausgeübte unselbstständige oder selbstständige Tätigkeit, selbst wenn sie im konkreten Einzelfall unentgeltlich erfolgt (Art. 11 Abs. 2 AuG). Eine Tätigkeit gilt dann als üblicherweise auf Entgelt gerichtet, wenn sie ihrer Art und ihrem Umfang nach auf dem schweizerischen Arbeits- und Dienstleistungsmarkt angeboten wird (vgl. Egli/Meyer, Handkommentar zum Bundesgesetz über die Ausländerinnen und Ausländer, 2010, Rz. 6 zu Art. 11, wo wohl im gleichen Sinn davon die Rede ist, dass die Aufnahme der Tätigkeit durch die ausländische Person Einfluss auf den Schweizer Arbeitsmarkt haben muss). Ohne Belang für die Qualifikation als Erwerbstätigkeit ist, ob die Beschäftigung nur stunden- oder tageweise oder vorübergehend ausgeübt wird (Art. 1a Abs. 1 VZAE). Diese weite Fassung des Erwerbsbegriffs hat zum Ziel, die Möglichkeiten zur Umgehung der Zulassungsbestimmungen einzuschränken (Botschaft zum AuG, BBl 2002 3709, 3776). Der Begriff ist seiner ratio legis entsprechend weit auszulegen (vgl. Egli/Meyer, a.a.O, Rz. 6 zu Art. 11).</w:t>
      </w:r>
    </w:p>
    <w:p>
      <w:r>
        <w:rPr>
          <w:b/>
        </w:rPr>
        <w:t>E. 4.3.3</w:t>
      </w:r>
    </w:p>
    <w:p>
      <w:r>
        <w:t>Der breite Erwerbsbegriff erfährt zwar dort gewisse Einschränkungen, wo der besondere Charakter der Hilfeleistung gerade durch die verwandtschaftliche und emotionale Nähe zwischen den Beteiligten gewährleistet ist, die ausführende Person daher nicht durch einen Dritten ersetzt werden könnte, ohne dass der besondere Charakter der Hilfeleistung verloren ginge (vgl. anstelle mehrerer: Urteil BVGer C-7344/2014 vom 24. August 2015 E. 5.2). Auf eine solche Konstellation kann sich der Beschwerdeführer allerdings nicht berufen. So besteht zwischen ihm und dem von der Hilfestellung Begünstigten kein (nahes) Verwandtschaftsverhältnis im Sinne der Rechtsprechung, soll es sich doch bei Letzterem um den Bruder der ehemaligen Freundin des Beschwerdeführers handeln. Noch wesentlicher aber ist die Tatsache, dass die Hilfestellung nicht in der privaten, sondern in der geschäftlichen Sphäre des Begünstigten erbracht wurde. Hier kann eine Aushilfe direkte Auswirkungen auf das wirtschaftliche Fortkommen eines Gewerbebetriebes haben (Urteil BVGer C-6443/2013 vom 31. Oktober 2014 E. 6.5).</w:t>
      </w:r>
    </w:p>
    <w:p>
      <w:r>
        <w:rPr>
          <w:b/>
        </w:rPr>
        <w:t>E. 4.3.4</w:t>
      </w:r>
    </w:p>
    <w:p>
      <w:r>
        <w:t>Schliesslich kann der Erwerbscharakter der vom Beschwerdeführer erbrachten Aushilfe auch nicht damit in Frage gestellt werden, dass diese behaupteterweise spontan bzw. ungeplant aufgenommen und schon kurze Zeit später aufgrund der behördlichen Intervention wieder eingestellt wurde. Der Begriff der Erwerbstätigkeit stellt - wie bereits erwähnt - nicht auf das Ausmass der erbrachten Tätigkeit ab; dieses ist einzig im Zusammenhang mit der Verhältnismässigkeitsprüfung von Bedeutung (vgl. dazu nachfolgend E. 5).</w:t>
      </w:r>
    </w:p>
    <w:p>
      <w:r>
        <w:rPr>
          <w:b/>
        </w:rPr>
        <w:t>E. 4.3.5</w:t>
      </w:r>
    </w:p>
    <w:p>
      <w:r>
        <w:t>Vor dem aufgezeigten Hintergrund steht somit ausser Frage, dass der Beschwerdeführer eine Erwerbstätigkeit im Sinne von Art. 11 Abs. 2 AuG ausübte (vgl. zum Ganzen Urteil des BVGer C-5190/2014 vom 25. September 2015 E. 5). Zum selben Ergebnis war bereits das Strafgericht Basel Stadt in seinem Urteil vom 30. Juni 2016 gelangt, welches mittlerweile den angefochtenen Strafbefehl vom 4. Februar 2016 vollumfänglich bestätigt und den Beschwerdeführer wegen rechtswidrigen Aufenthalts im Sinne von Art. 115 Abs. 1 Bst. b AuG sowie Erwerbstätigkeit ohne Bewilligung gemäss Art. 115 Abs. 1 Bst. c AuG schuldig gesprochen hatte. Nach dem Gesagten steht somit fest, dass der Beschwerdeführer gegen die öffentliche Sicherheit und Ordnung verstossen hat. Er hat somit unter dem Gesichtspunkt von Art. 67 Abs. 2 Bst. a AuG hinreichenden Anlass für die Verhängung eines Einreiseverbots gesetzt, zumal sein Verhalten darauf schliessen lässt, dass er auch künftig keine Gewähr für ein Respektieren der schweizerischen Rechtsordnung bieten kann (vgl. nachfolgend E. 5.2).</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514 ff.).</w:t>
      </w:r>
    </w:p>
    <w:p>
      <w:r>
        <w:rPr>
          <w:b/>
        </w:rPr>
        <w:t>E. 5.2</w:t>
      </w:r>
    </w:p>
    <w:p>
      <w:r>
        <w:t>Der Beschwerdeführer ging in der Schweiz - wie festgestellt - ohne Bewilligung einer Erwerbstätigkeit nach. Dieses Fehlverhalten wiegt objektiv gesehen nicht leicht. Es beinhaltet eine Missachtung ausländerrechtlicher Normen, denen im Interesse einer funktionierenden Rechtsordnung eine zentrale Bedeutung zukommt. Namentlich das generalpräventiv motivierte Interesse, die ausländerrechtliche Ordnung durch eine konsequente Massnahmenpraxis zu schützen, ist als gewichtig einzustufen. Überdies liegt eine spezialpräventive Zielsetzung der Massnahme darin, dass sie den Betroffenen ermahnt, bei einer allfälligen künftigen Wiedereinreise in die Schweiz nach Ablauf der Dauer des Einreiseverbots die für ihn geltenden Regeln einzuhalten (vgl. hierzu Urteil des BVGer C-6993/2014 vom 30. März 2015 E. 5.2 m.H.). In subjektiver Hinsicht gilt es zwar zu berücksichtigen, dass die dem Beschwerdeführer vorgeworfene illegale Erwerbstätigkeit nur während zweier Tage nachgewiesen werden konnte. Andererseits wurde diese nur durch eine behördliche Betriebskontrolle auf Schwarzarbeit auf einer Basler Baustelle unterbunden. Negativ zu werten ist ausserdem, dass der Beschwerdeführer anlässlich einer Betriebskontrolle im Jahre 2011 in Basel schon einmal in bauarbeiterähnlicher Kleidung betroffen worden war und ihm dieser Vorfall - laut dem erwähnten Strafurteil Basel-Stadt vom 30. Juni 2016 - ausreichende Warnung hätte sein müssen. Vorliegend besteht somit ein gewichtiges öffentliches Interesse an der Fernhaltung des Beschwerdeführers.</w:t>
      </w:r>
    </w:p>
    <w:p>
      <w:r>
        <w:rPr>
          <w:b/>
        </w:rPr>
        <w:t>E. 5.3</w:t>
      </w:r>
    </w:p>
    <w:p>
      <w:r>
        <w:t>Die vom Beschwerdeführer geäusserten Interessen daran, weiterhin ohne besondere Restriktionen in die Schweiz bzw. den übrigen Schengen-Raum einreisen zu können, blieben sehr unbestimmt. In seiner Rechtsmitteleingabe machte er diesbezüglich lediglich geltend, er habe viele Bekannte und Freunde in der Schweiz bzw. im Schengen-Raum, die er regelmässig besuche. In diesem Zusammenhang gilt es festzuhalten, dass es dem Beschwerdeführer freigestellt bleibt, aus wichtigen Gründen mittels Gesuch die zeitweilige Suspension der angeordneten Fernhaltemassnahme zu beantragen (Art. 67 Abs. 5 AuG), wobei diese aber praxisgemäss nur für eine kurze und klar begrenzte Zeit gewährt wird (vgl. Urteil des BVGer C-1712/2011 vom 12. September 2012 E. 6.3 m.H.). Im Übrigen stünde - wie bereits unter E. 3.4 erwähnt - sämtlichen Schengen-Mitgliedstaaten die Möglichkeit offen, betroffenen Personen auf Gesuch hin die Einreise in das eigene Hoheitsgebiet zu gestatten bzw. ein Visum mit räumlich beschränkter Gültigkeit auszustellen (vgl. auch Urteil des BVGer F-7521/2015 vom 20. Dezember 2016 E. 6.3 m.H.). Die mit dem Einreiseverbot verbundenen Einschränkungen sind also in mehrfacher Hinsicht zu relativieren.</w:t>
      </w:r>
    </w:p>
    <w:p>
      <w:r>
        <w:rPr>
          <w:b/>
        </w:rPr>
        <w:t>E. 5.4</w:t>
      </w:r>
    </w:p>
    <w:p>
      <w:r>
        <w:t>Aufgrund einer wertenden Gewichtung der sich entgegenstehenden Interessen gelangt das Bundesverwaltungsgericht zum Schluss, dass sich das auf zwei Jahre befristete Einreiseverbot unter Berücksichtigung der gängigen Praxis in vergleichbaren Fällen (vgl. etwa Urteile des BVGer C-481/2015 vom 19. Mai 2016, C-5190/2014 vom 25. September 2015 sowie C-1608/2015 vom 26. August 2015) als verhältnismässig und angemessen erweist.</w:t>
      </w:r>
    </w:p>
    <w:p>
      <w:r>
        <w:rPr>
          <w:b/>
        </w:rPr>
        <w:t>E. 6</w:t>
      </w:r>
    </w:p>
    <w:p>
      <w:r>
        <w:t>Aus diesen Erwägungen ergibt sich, dass die angefochtene Verfügung im Lichte von Art. 49 VwVG nicht zu beanstanden ist. Die Beschwerde ist somit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