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F-1461/2017 vom 20. August 2018</w:t>
      </w:r>
    </w:p>
    <w:p>
      <w:r>
        <w:t>Bundesverwaltungsgericht, 2018-08-20, DE</w:t>
      </w:r>
    </w:p>
    <w:p>
      <w:r>
        <w:rPr>
          <w:b/>
        </w:rPr>
        <w:t xml:space="preserve">Quelle: </w:t>
      </w:r>
      <w:r>
        <w:t>https://mcp.opencaselaw.ch/entscheid/bvger_F-1461_2017</w:t>
      </w:r>
    </w:p>
    <w:p>
      <w:r>
        <w:t>FR: TAF F-1461/2017 du 20 août 2018</w:t>
      </w:r>
    </w:p>
    <w:p>
      <w:r>
        <w:t>IT: TAF F-1461/2017 del 20 agosto 2018</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SEM, welche die Zustimmung zur Erteilung einer Aufenthaltsbewilligung betreffen. Das Bundesverwaltungsgericht entscheidet endgültig, soweit nicht die Beschwerde in öffentlich-rechtlichen Angelegenheiten an das Bundesgericht offen steht (vgl. Art. 83 Bst. c Ziff. 2 und 4 BGG).</w:t>
      </w:r>
    </w:p>
    <w:p>
      <w:r>
        <w:rPr>
          <w:b/>
        </w:rPr>
        <w:t>E. 1.2</w:t>
      </w:r>
    </w:p>
    <w:p>
      <w:r>
        <w:t>Gemäss Art. 37 VGG richtet sich das Verfahren vor dem Bundesverwaltungsgericht nach dem VwVG, soweit das Gesetz nichts anderes bestimmt.</w:t>
      </w:r>
    </w:p>
    <w:p>
      <w:r>
        <w:rPr>
          <w:b/>
        </w:rPr>
        <w:t>E. 1.3</w:t>
      </w:r>
    </w:p>
    <w:p>
      <w:r>
        <w:t>Der Beschwerdeführer ist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 3.Gemäss Art. 40 AuG sind die Kantone für die Erteilung und Verlängerung von Bewilligungen zuständig. Vorbehalten bleibt die Zuständigkeit des Bundes für das Zustimmungsverfahren, zu dessen Ausgestaltung Art. 99 AuG den Bundesrat ermächtigt. Aus dieser Ermächtigung resultiert Art. 85 der Verordnung vom 24. Oktober 2007 über Zulassung, Aufenthalt und Erwerbstätigkeit (VZAE, SR 142.201) der die Zuständigkeit für zustimmungspflichtige Bewilligungen und Vorentscheide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Die Grundlage für das vorliegende Zustimmungsverfahren bildet Art. 2 Bst. c der eben erwähnten Verordnung. Gemäss Art. 86 Abs. 1 VZAE kann das SEM die Zustimmung ohne Bindung an die Beurteilung durch den Kanton verweigern oder mit Bedingungen verbinden (vgl. Urteil des BVGer F-4127/2015 vom 20. März 2017 E. 3 m. H.). 4.4.1 Gemäss Art. 44 AuG (SR 142.20) kann ledigen Kindern unter 18 Jahren von Personen mit Aufenthaltsbewilligung eine Aufenthaltsbewilligung erteilt werden, wenn sie mit diesen zusammenwohnen (lit. a), eine bedarfsgerechte Wohnung vorhanden ist (lit. b) und sie nicht auf Sozialhilfe angewiesen sind (lit. c). Diese Regelung findet auf Staatsangehörige von EU-Mitgliedstaaten und deren Familienangehörige indessen keine Anwendung, da das FZA abweichende Bestimmungen enthält, die für sie günstiger sind als die Regelung im Ausländergesetz (Art. 2 Abs. 2 AuG). 4.2 Art. 7 lit. d FZA i.V.m. Art. 3 Abs. 1 Anhang I FZA räumt den Familienangehörigen einer Person, die Staatsangehörige einer Vertragspartei ist und ein Aufenthaltsrecht hat, das Recht ein, bei dieser Wohnung zu nehmen. Vorausgesetzt ist, dass die EU-Staatsangehörige für ihre Familie über eine Wohnung verfügt, die in dem Gebiet, in dem sie beschäftigt ist, den für die inländischen Arbeitnehmer geltenden normalen Anforderungen entspricht, wobei diese Bestimmung nicht zu einer Diskriminierung zwischen inländischen Arbeitnehmern und solchen aus einem anderen Vertragsstaat führen darf. Als Familienangehörige gelten unter anderem auch Verwandte in absteigender Linie, denen Unterhalt gewährt wird (Art. 3 Abs. 2 lit. a Anhang I FZA). 4.3 Familienangehörige von Staatsangehörigen eines EU/EFTA-Staates können ihr Recht auf Familiennachzug gestützt auf Artikel 3 Anhang I FZA unabhängig des Orts und des Zeitpunkts der Entstehung der familiären Beziehung geltend machen. Dieses Recht besteht folglich, ohne dass die Familienangehörigen den Nachweis eines vorgängigen Aufenthalts im Gebiet eines anderen Mitgliedstaates der EU/EFTA erbringen müssen (vgl. BGE 134 II 10 E. 3.3. - 3.6 m.H.). 4.4 Des Weiteren muss bereits vor der Familienvereinigung ein (soziales) Familienleben tatsächlich bestanden haben, wobei die Angehörigen freilich nicht zusammengewohnt, wohl aber ihre Beziehung mit minimaler Intensität gelebt haben müssen (BGE 136 II 65 E. 5.2). Mit anderen Worten muss die Beziehung intakt und sachgerecht tatsächlich gelebt worden sein (vgl. BGE 135 I 143 E. 1.3.1 m.H.). Insofern ist es nicht von Belang, dass der Beschwerdeführer bereits mehrere Jahre von seiner Familie getrennt lebt. Da der Beschwerdeführer drei Mal im Jahr seine Ferien bei seiner Familie verbringt (vgl. kant.-pag. 41), kann davon ausgegangen werden, dass eine Beziehung mit minimaler Intensität vorliegt. 4.5 Der Ehegatte und die Kinder, die im Rahmen des Familiennachzugs zugelassen wurden, haben unabhängig von ihrer Staatsangehörigkeit einen Rechtsanspruch auf Zugang zum Arbeitsmarkt. Dies gilt selbst dann, wenn der EU/EFTA-Staatsangehörige mit dem originären Aufenthaltsrecht nicht zur Erwerbstätigkeit zugelassen ist (Art. 3 Abs. 5 Anhang I FZA). Die Aufnahme einer Erwerbstätigkeit seitens der Tochter wäre somit zulässig. 4.6. Die Bedürftigkeit der unterstützten Person muss tatsächlich bestehen und nachgewiesen werden (Art. 3 Abs. 3 lit. c Anhang I FZA). Und der erforderliche Unterhalt des Familienangehörigen muss vom Aufenthaltsberechtigten materiell sichergestellt werden. Es kommt dabei darauf an, ob der nachzuziehende Verwandte in Anbetracht seiner wirtschaftlichen und sozialen Situation in der Lage ist, seine Grundbedürfnisse selbst zu decken, oder ob er auf zusätzliche Mittel angewiesen ist, die vom Aufenthaltsberechtigten aufgebracht werden (BGE 135 II 369 E. 3.1). Ein Abhängigkeitsverhältnis muss entgegen der Auffassung der Vorinstanz zum Zeitpunkt bestehen, in welchem sich die Person, welche nachgezogen werden soll, noch in ihrem Heimatland befindet (vgl. Urteil des EuGH C-423/12 vom 16. Januar 2014 Reyes Rz. 30). Aufgrund der Belege, welche im kantonalen Verfahren beigebracht wurden, ist davon auszugehen, dass der Beschwerdeführer für den Lebensunterhalt seiner Tochter in Mazedonien aufkommt (vgl. kant.-pag. 23 und 24). Dies wird im Übrigen auch nicht bestritten. Die Bedürftigkeit der Tochter ist somit gegeben. 4.7 Der Anspruch auf Familiennachzug setzt gemäss dem FZA eine angemessene Wohnung für die ganze Familie voraus (Art. 3 Abs. 1 Anhang I FZA). Den Akten kann nicht entnommen werden, ob der Beschwerdeführer in einer Wohnung lebt, welche für zwei Personen angemessen wäre. Dies wird in casu jedoch nicht bestritten. 4.8. Bei der Tochter des Beschwerdeführer handelt es sich somit um eine Familienangehörige des Beschwerdeführers, welcher Unterhalt gewährt wird (Art. 3 Abs. 2 lit. a Anhang I FZA). 5.5.1 Der Anspruch auf Familiennachzug aus dem FZA steht unter dem Vorbehalt des Rechtsmissbrauchs (vgl. BGE 139 II 393 E. 2.1 m.H.) Auch nach der Rechtsprechung des EuGH ist die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(vgl. Urteil des EuGH vom 21. Juli 2011 C-186/10 Oguz Rz. 25 m.H.). Dasselbe gilt im Rahmen des FZA und insbesondere für die Bestimmungen über den Familiennachzug. Diese haben zum Ziel, das tatsächlich gelebte Familienleben der Bürger der Staatsvertragsparteien zu ermöglichen. Falls es in Wirklichkeit nicht um diesen Zweck geht, fällt der staatsvertragliche Anspruch dahin (vgl. BGE 139 II 393 E. 2.1 m.H.). Das Verbot des Rechtsmissbrauchs setzt der Ausübung eines Anspruchs, der formal im Einklang mit der Rechtsordnung steht, jedoch treuwidrig geltend gemacht wird, eine ethisch-materielle Schranke (vgl. BGE 137 I 247 E. 5.1.1 m.H.). Der Rechtsmissbrauch muss jedoch offensichtlich sein, um einem formal gültigen Anspruch ausnahmsweise den Rechtsschutz zu versagen. Auf ein rechtsmissbräuchliches Vorgehen kann demzufolge nur geschlossen werden, wenn dafür eindeutige Hinweise bestehen (Urteil des BGer 2C_71/2016 vom 14. November 2016 E. 3.4.1 m.H.). 5.2. Im vorliegenden Fall liegen solche Hinweise vor. In der Beschwerde wurde vorgebracht, dass die Tochter des Beschwerdeführers seit drei Jahren weder einer Arbeit nachgegangen sei, noch eine Ausbildung absolviert habe. Zuvor habe sie die Schule besucht. Sie habe in Mazedonien bis anhin nicht die Möglichkeit gehabt, eine Ausbildung zu absolvieren und habe sich auch nicht in den Arbeitsmarkt integrieren können (kant.-pag. 41). Der Beschwerdeführer finanziert den Lebensunterhalt seiner Tochter. Einer Bescheinigung der Sauber Radis AG vom 22. Juli 2016 kann entnommen werden, dass der Tochter des Beschwerdeführers sogleich eine Arbeit angeboten würde, wenn diese in der Schweiz eine Aufenthaltsbewilligung erhielte (kant.-pag. 20). Die Tochter befindet sich in einem Alter, in welchem ein unabhängiges Leben von den Eltern angestrebt wird. Zu einem solchen gehört u.a. nebst dem selbständigen Bestreiten des Lebensunterhalts auch eine eigene Wohnung. Diese Umstände lassen es als höchst unwahrscheinlich erscheinen, dass der Nachzug der Beschwerdeführerin tatsächlich das familiäre Zusammenleben mit ihrem italienischen Vater bezweckt, auch wenn die Beschwerdeführerin dort zunächst Wohnsitz nehmen würde. Vielmehr deutet alles darauf hin, dass die Beschwerdeführerin in erster Linie ein eigenständiges Leben anstrebt. Die mit Art. 3 Abs. 1 Anhang I FZA bezweckte Realisierung einer Eltern-Kind-Gemeinschaft steht somit nicht im Vordergrund. 5.3. In Anbetracht aller Umstände ist somit nicht zu beanstanden, dass die Vorinstanz davon ausging, beim Nachzugsgesuch des Beschwerdeführers stehe keine Eltern-Kind-Gemeinschaft im Vordergrund, sondern die finanzielle Unabhängigkeit der Tochter des Beschwerdeführers. Dies widerspricht dem Zweck von Art. 3 Abs. 1 Anhang I FZA, weshalb die Vorinstanz zu Recht von einem rechtsmissbräuchlichen Verhalten ausgehen durfte. 6.Aus diesen Darlegungen folgt, dass die angefochtene Verfügung als rechtmässig zu bestätigen ist (Art. 49 VwVG). Die Beschwerde ist daher abzuweisen. 7.Entsprechend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