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F-145/2021 vom 13. Dezember 2021</w:t>
      </w:r>
    </w:p>
    <w:p>
      <w:r>
        <w:t>Bundesverwaltungsgericht, 2021-12-13, FR</w:t>
      </w:r>
    </w:p>
    <w:p>
      <w:r>
        <w:rPr>
          <w:b/>
        </w:rPr>
        <w:t xml:space="preserve">Quelle: </w:t>
      </w:r>
      <w:r>
        <w:t>https://mcp.opencaselaw.ch/entscheid/bvger_F-145_2021</w:t>
      </w:r>
    </w:p>
    <w:p>
      <w:r>
        <w:t>FR: TAF F-145/2021 du 13 décembre 2021</w:t>
      </w:r>
    </w:p>
    <w:p>
      <w:r>
        <w:t>IT: TAF F-145/2021 del 13 dicembre 2021</w:t>
      </w:r>
    </w:p>
    <w:p>
      <w:pPr>
        <w:pStyle w:val="Heading2"/>
      </w:pPr>
      <w:r>
        <w:t>Regeste</w:t>
      </w:r>
    </w:p>
    <w:p>
      <w:r>
        <w:t>Assistance administrative</w:t>
      </w:r>
    </w:p>
    <w:p>
      <w:pPr>
        <w:pStyle w:val="Heading2"/>
      </w:pPr>
      <w:r>
        <w:t>Erwägungen</w:t>
      </w:r>
    </w:p>
    <w:p>
      <w:r>
        <w:rPr>
          <w:b/>
        </w:rPr>
        <w:t>E. 5</w:t>
      </w:r>
    </w:p>
    <w:p>
      <w:r>
        <w:t>Pour ce qui est des conditions de fond, le recourant invoque l'inapplicabilité de la CDI CH-FR et une violation du principe de la pertinence vraisemblable dans son recours du 8 janvier 2021.</w:t>
      </w:r>
    </w:p>
    <w:p>
      <w:r>
        <w:rPr>
          <w:b/>
        </w:rPr>
        <w:t>E. 5.1</w:t>
      </w:r>
    </w:p>
    <w:p>
      <w:r>
        <w:t>Le recourant argue n'être plus résident en France depuis 2002 et être résident permanent des Îles Caïmans depuis 2004 (cf. act. 1 TAF, pièce 2, annexes 1 à 8). L'intéressé n'aurait passé en France que 20 jours de vacances entre 2010 et 2015. Etant donné la durée de sa résidence continue et ininterrompue de 15 ans, il avance avoir obtenu le statut de citoyen des Îles Caïmans en 2019 (cf. 1 TAF, pièce 2, annexes 1 à 8). Le recourant a, notamment, exposé y avoir développé depuis 2004 un « family office » qui emploie aujourd'hui 40 personnes et d'y avoir développé un secteur caritatif en exerçant ses fonctions sur place (cf. act. 1 TAF, pages 4 et 5). Par voie de conséquence, l'intéressé ferait partie de la marge d'erreur de 3% avancée par l'AFC concernant la présomption de la fiabilité du code de domicile des environ 45'000 titulaires anonymes de comptes pour la liste A. Le critère de la pertinence vraisemblable des art. 28 par. 1 CDI CH-FR et art. 7 lit. a LAAF ne serait pas donné. La CDI CH-FR ne serait donc pas applicable.</w:t>
      </w:r>
    </w:p>
    <w:p>
      <w:r>
        <w:rPr>
          <w:b/>
        </w:rPr>
        <w:t>E. 5.2</w:t>
      </w:r>
    </w:p>
    <w:p>
      <w:r>
        <w:t>Le recourant estime plus précisément que l'entraide fiscale fondée sur l'art. 1 CDI CH-FR ne devrait pas être octroyée, la Convention dans son entier étant inapplicable en l'absence de résidence du recourant en France. A cet égard, la jurisprudence a cependant clairement établi qu'au stade de l'assistance administrative, la question de la résidence de la personne concernée par la procédure d'entraide n'a pas à être tranchée par l'Etat requis (cf. ATF 142 II 161 consid. 2.2.2 in fine, 142 II 218 consid. 3.6 ;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 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n'a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5.3</w:t>
      </w:r>
    </w:p>
    <w:p>
      <w:r>
        <w:t>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5.4</w:t>
      </w:r>
    </w:p>
    <w:p>
      <w:r>
        <w:t>Il s'avère partant que le grief d'inapplicabilité de la clause d'entraide est ici mal fondé au regard de la jurisprudence. Dans la mesure où l'Etat requérant dispose, comme en l'espèce, d'éléments tendant à fonder un assujettissement illimité en France, à tout le moins sous l'angle de la vraisemblance et que les faits présentés par l'autorité requérante ne peuvent être invalidés d'emblée sur la base d'erreurs, de lacunes ou de contradictions manifestes.</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