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F-1458/2024 vom 11. März 2024</w:t>
      </w:r>
    </w:p>
    <w:p>
      <w:r>
        <w:t>Bundesverwaltungsgericht, 2024-03-11, FR</w:t>
      </w:r>
    </w:p>
    <w:p>
      <w:r>
        <w:rPr>
          <w:b/>
        </w:rPr>
        <w:t xml:space="preserve">Quelle: </w:t>
      </w:r>
      <w:r>
        <w:t>https://mcp.opencaselaw.ch/entscheid/bvger_F-1458_2024</w:t>
      </w:r>
    </w:p>
    <w:p>
      <w:r>
        <w:t>FR: TAF F-1458/2024 du 11 mars 2024</w:t>
      </w:r>
    </w:p>
    <w:p>
      <w:r>
        <w:t>IT: TAF F-1458/2024 del 11 marzo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LAsi,en relation avec l'art. 6a LAsi et l'art. 83 let. d ch. 1 LTF), exception non réalisée en l'espèce.</w:t>
      </w:r>
    </w:p>
    <w:p>
      <w:r>
        <w:rPr>
          <w:b/>
        </w:rPr>
        <w:t>E. 1.2</w:t>
      </w:r>
    </w:p>
    <w:p>
      <w:r>
        <w:t>La procédure devant le Tribunal est régie par la PA, pour autant que ni la LTAF, ni la LAsi n'en disposent autrement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w:t>
      </w:r>
    </w:p>
    <w:p>
      <w:r>
        <w:rPr>
          <w:b/>
        </w:rPr>
        <w:t>E. 1.4</w:t>
      </w:r>
    </w:p>
    <w:p>
      <w:r>
        <w:t>Selon l'art. 33a al. 2, 1ère phr., PA, dans la procédure de recours, la langue est en principe celle de la décision attaquée. En l'occurrence, la décision entreprise a été rédigée en langue française, tandis que le recours l'a été en langue allemande par un mandataire professionnel, si bien que la langue de procédure demeure le français.</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l'asile(cf. ATAF 2020 VII/4 consid. 2.1 in fine).</w:t>
      </w:r>
    </w:p>
    <w:p>
      <w:r>
        <w:rPr>
          <w:b/>
        </w:rPr>
        <w:t>E. 3</w:t>
      </w:r>
    </w:p>
    <w:p>
      <w:r>
        <w:t>Saisi d'un recours contre une décision de non-entrée en matière sur une demande d'asile, le Tribunal se limite à examiner le bien-fondé d'une telle décision (cf. ATAF 2017 VI/5 consid.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2019 VI/7 consid. 6.4.1.3]).</w:t>
      </w:r>
    </w:p>
    <w:p>
      <w:r>
        <w:rPr>
          <w:b/>
        </w:rPr>
        <w:t>E. 3.2</w:t>
      </w:r>
    </w:p>
    <w:p>
      <w:r>
        <w:t>Aux termes de l'art. 3 par. 1 du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membre(art. 20 par. 1 RD III).</w:t>
      </w:r>
    </w:p>
    <w:p>
      <w:r>
        <w:rPr>
          <w:b/>
        </w:rPr>
        <w:t>E. 3.3</w:t>
      </w:r>
    </w:p>
    <w:p>
      <w:r>
        <w:t>Dans une procédure de reprise en charge (en anglais : take back), comme en l'espèce, il n'y a en principe aucun nouvel examen de la compétence selon le chapitre III du règlement Dublin III (cf. ATAF 2019 VI/7 consid. 6.4.1.1). L'Etat responsable de l'examen d'une demande de protection internationale en vertu du règlement est tenu de reprendre en charge - dans les conditions prévues aux art. 23, 24, 25 et 29 - le demandeur dont la demande a été rejetée et qui a présenté une demande auprès d'un autre Etat membre ou qui se trouve, sans titre de séjour, sur le territoire d'un autre Etat membre (cf. art. 18 par. 1 let. d RD III). Lorsque la procédure de détermination de l'Etat responsable n'est pas close, il convient d'appliquer l'art. 20 par. 5 du RD III. Celui-ci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(cf. art. 2 let. e du RD III) pendant la procédure de détermination de l'Etat membre responsable de l'examen de la demande de protection internationale, ceci en vue d'achever ladite procédure (cf. arrêt de Grande chambre de la CJUE, affaires jointes C-582/17 et C-583/17 du 2 avril 2019, § 48 à 50 ;cf., notamment, arrêt du TAF F-974/2024 du 20 février 2024 consid. 3.5 et les réf. citées).</w:t>
      </w:r>
    </w:p>
    <w:p>
      <w:r>
        <w:rPr>
          <w:b/>
        </w:rPr>
        <w:t>E. 3.4</w:t>
      </w:r>
    </w:p>
    <w:p>
      <w:r>
        <w:t>En l'espèce, les investigations entreprises par le SEM, à travers la consultation de l'unité centrale du système européen « Eurodac », ont révélé que l'intéressé avait déposé une demande de protection internationale en Croatie en date du 26 juillet 2023. Le SEM a soumis aux autorités croates compétentes, le 13 octobre 2023 (soit dans le délai fixé à l'art. 23 par. 2 du RD III), une requête aux fins de reprise en charge de l'intéressé, fondée sur l'art. 18 par. 1 let. b du RD III. Le 27 octobre 2023, soit dans le respect du délai de l'art. 25 par. 1 du RD III, la Croatie a expressément accepté de reprendre en charge l'intéressé, mais sur la base de l'art. 20 par. 5 RD III, afin de poursuivre la procédure de détermination de l'Etat Dublin compétent. Dans ces conditions et dans la mesure où aucun élément au dossier n'indique que le recourant aurait quitté le territoire des Etats membres ou aurait obtenu un titre de séjour de la part d'un autre Etat membre dans l'intervalle (cf. art. 20 par. 5 al. 2 RD III), la compétence de la Croatie pour achever le processus de détermination de l'Etat membre responsable de l'examen de sa demande de protection internationale doit être reconnue. A ce propos, le fait que la base réglementaire indiquée sur la demande de reprise en charge soumise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 voir aussi ATAF 2019 VI/7 consid. 6.2).</w:t>
      </w:r>
    </w:p>
    <w:p>
      <w:r>
        <w:rPr>
          <w:b/>
        </w:rPr>
        <w:t>E. 4</w:t>
      </w:r>
    </w:p>
    <w:p>
      <w:r>
        <w:t>Pour s'opposer à son transfert, l'intéressé a invoqué implicitement la présence de défaillances systémiques en Croatie (art. 3 par. 2 RD III).Il a en effet soutenu que les autorités croates procédaient à des refoulements en faisant usage de la force et que les conditions de vie et de détention qu'il avait lui-même connues dans ce pays contrevenaient au respect de la dignité humaine, dans la mesure où l'accès aux médicaments et à la nourriture n'était pas garanti.</w:t>
      </w:r>
    </w:p>
    <w:p>
      <w:r>
        <w:rPr>
          <w:b/>
        </w:rPr>
        <w:t>E. 4.1</w:t>
      </w:r>
    </w:p>
    <w:p>
      <w:r>
        <w:t>Il y a lieu d'examiner, conformément à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w:t>
      </w:r>
    </w:p>
    <w:p>
      <w:r>
        <w:rPr>
          <w:b/>
        </w:rPr>
        <w:t>E. 4.1.1</w:t>
      </w:r>
    </w:p>
    <w:p>
      <w:r>
        <w:t>A ce propos, il convient de rappeler que ce pays est lié à ladite Charte UE et partie à la Convention du 28 juillet 1951 relative au statut des réfugiés (CR, RS 0.142.30), ainsi qu'au Protocole additionnel du31 janvier 1967 (PA/CR, RS 0.142.301), à la Convention du4 novembre 1950 de sauvegarde des droits de l'homme et des libertés fondamentales (CEDH, RS 0.101) et à la Convention du 10 décembre 1984 contre la torture et autres peines ou traitements cruels, inhumains ou dégradants (CCT, RS 0.105),et qu'à ce titre, il en applique les dispositions.</w:t>
      </w:r>
    </w:p>
    <w:p>
      <w:r>
        <w:rPr>
          <w:b/>
        </w:rPr>
        <w:t>E. 4.1.2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w:t>
      </w:r>
    </w:p>
    <w:p>
      <w:r>
        <w:rPr>
          <w:b/>
        </w:rPr>
        <w:t>E. 4.1.3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RD III. Dans un tel cas, l'Etat requérant doit renoncer au transfert. Dans un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En revanche, s'agissant de requérants transférés en Croatie sur la base du RD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Croatie,de défaillances systémiques au sens de l'art. 3 par. 2 al. 2 et 3 du RD III, qui feraient apparaître un transfert de requérants comme généralement inadmissible (cf. arrêt du TAF E-1488/2020 du 22 mars 2023 consid. 9.5, voir aussi arrêt du TAF F-974/2024 du 20 février 2024 consid. 4.2.4).</w:t>
      </w:r>
    </w:p>
    <w:p>
      <w:r>
        <w:rPr>
          <w:b/>
        </w:rPr>
        <w:t>E. 4.2</w:t>
      </w:r>
    </w:p>
    <w:p>
      <w:r>
        <w:t>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du RD III ne se justifie donc pas en l'espèce (cf. ATAF 2017 VI/5 consid. 8.4).</w:t>
      </w:r>
    </w:p>
    <w:p>
      <w:r>
        <w:rPr>
          <w:b/>
        </w:rPr>
        <w:t>E. 5.1</w:t>
      </w:r>
    </w:p>
    <w:p>
      <w:r>
        <w:t>Aux termes de l'art. 17 par. 1 du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2022 I/6 consid. 4.3.3.1 in fine et les réf. cit).</w:t>
      </w:r>
    </w:p>
    <w:p>
      <w:r>
        <w:rPr>
          <w:b/>
        </w:rPr>
        <w:t>E. 5.2</w:t>
      </w:r>
    </w:p>
    <w:p>
      <w:r>
        <w:t>Dans son recours, l'intéressé a indiqué craindre d'être, à nouveau, soumis à des traitements dégradants, voire inhumains, s'il devait être transféré en Croatie. A ce titre, le Tribunal considère que les déclarations du recourant relatives aux circonstances de son arrivée sur le sol croate ne sauraient, à elles seules, suffire à démontrer qu'il serait ou risquerait d'être soumis à des traitements inhumains ou dégradants en cas de transfert en Croatie.Sans cautionner nullement les mauvais traitements dont le recourant aurait été victime de la part des policiers croates, on ne saurait ignorer qu'il est entré illégalement sur le territoire croate et n'y est demeuré que très peu de temps. On ne saurait dès lors assimiler sa situation initiale à celle à laquelle il sera confronté à son retour dans le cadre de la procédure Dublin. Dans son arrêt de référence E-1488/2020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 Dès lors, il convient de retenir que l'intéressé aura accès à une procédure d'asile et à des conditions d'accueil conformes aux règles européennes en cas de transfert en Croatie.</w:t>
      </w:r>
    </w:p>
    <w:p>
      <w:r>
        <w:rPr>
          <w:b/>
        </w:rPr>
        <w:t>E. 5.3</w:t>
      </w:r>
    </w:p>
    <w:p>
      <w:r>
        <w:t>Le recourant a également mis en avance la présence en Suisse de son frère, titulaire d'un permis B, dont il est très proche.</w:t>
      </w:r>
    </w:p>
    <w:p>
      <w:r>
        <w:rPr>
          <w:b/>
        </w:rPr>
        <w:t>E. 5.3.1</w:t>
      </w:r>
    </w:p>
    <w:p>
      <w:r>
        <w:t>Pour pouvoir invoquer le droit au respect de la vie familiale consacré à l'art. 8 CEDH, l'étranger doit, en principe, justifier d'une relation étroite et effective avec une personne de sa famille, laquelle doit bénéficier en Suisse d'un droit de présence assuré (ou durable) (cf. ATAF 2012/4consid. 4.3 et les réf. cit.). Les relations visées par l'art. 8 CEDH sont avant tout celles existant au sein de la famille au sens étroit et plus particulièrement entre époux et entre parents et enfants mineurs vivant en ménage commun (cf. ATF 145 I 227 consid. 3.1). D'autres liens familiaux ou de parenté peuvent également être protégés, à la condition toutefois que l'étranger se trouve dans un rapport de dépendance particulier vis-à-vis du proche parent disposant d'un droit de séjour durable en Suisse,par exemple en raison d'un handicap (physique ou mental) ou d'une maladie grave rendant nécessaire une assistance importante dans la vie quotidienne, voire des soins permanents que seul un proche parent est en mesure de prodiguer (cf. ATF 145 I 227 consid. 3.1, 144 II 1 consid. 6.1).</w:t>
      </w:r>
    </w:p>
    <w:p>
      <w:r>
        <w:rPr>
          <w:b/>
        </w:rPr>
        <w:t>E. 5.3.2</w:t>
      </w:r>
    </w:p>
    <w:p>
      <w:r>
        <w:t>En l'espèce, bien que le Tribunal n'entende pas remettre en cause le soutien apporté par son frère au recourant, pas plus que les forts liens affectifs qui les unissent, il relève que le recourant ne se prévaut d'aucun lien de dépendance particulier entre lui-même et son frère et qu'un tel lien de dépendance ne ressort pas non plus du dossier.</w:t>
      </w:r>
    </w:p>
    <w:p>
      <w:r>
        <w:rPr>
          <w:b/>
        </w:rPr>
        <w:t>E. 5.3.3</w:t>
      </w:r>
    </w:p>
    <w:p>
      <w:r>
        <w:t>Dès lors, la présence de son frère en Suisse n'est pas de nature à s'opposer au transfert du recourant en Croatie.</w:t>
      </w:r>
    </w:p>
    <w:p>
      <w:r>
        <w:rPr>
          <w:b/>
        </w:rPr>
        <w:t>E. 5.4.1</w:t>
      </w:r>
    </w:p>
    <w:p>
      <w:r>
        <w:t>S'agissant enfin des problèmes de santé évoqués par le recourant, on rappellera que, selon la jurisprudence,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 européenne des droits de l'homme [Cour EDH] Paposhvili contre Belgique [Grande chambre] du 13 décembre 2016, requête no 41738/10, confirmé dans l'arrête de la Cour EDH Savran c. Danemark du 7 décembre 2021, Grande Chambre, req. 57467/15 ; ATAF 2017 VI/7 consid. 6.2).</w:t>
      </w:r>
    </w:p>
    <w:p>
      <w:r>
        <w:rPr>
          <w:b/>
        </w:rPr>
        <w:t>E. 5.4.2</w:t>
      </w:r>
    </w:p>
    <w:p>
      <w:r>
        <w:t>En l'espèce, dans le cadre de son entretien Dublin du 7 février 2024, l'intéressé a déclaré se sentir bien. Le recourant a néanmoins indiqué souffrir de problèmes de mémoire, d'oublis ainsi que de réveils en sursaut.</w:t>
      </w:r>
    </w:p>
    <w:p>
      <w:r>
        <w:rPr>
          <w:b/>
        </w:rPr>
        <w:t>E. 5.4.3</w:t>
      </w:r>
    </w:p>
    <w:p>
      <w:r>
        <w:t>Cela étant, le Tribunal constate qu'aucun document médical attestant d'un quelconque problème de santé n'a été produit tout au long de la procédure. Ainsi, aucun élément au dossier ne permet de conclure qu'en cas de transfert vers la Croatie, le recourant risquerait d'être exposé à un déclin grave, rapide et irréversible de son état de santé, étant par ailleurs relevé que la Croatie est un pays qui dispose d'une infrastructure médicale suffisante pour assurer une prise en charge médicale si celle-ci s'avérait nécessaire. En conséquence, il y a lieu de retenir que le recourant ne fait face à aucun problème de santé qui s'opposerait à l'exécution de son transfert vers la Croatie.</w:t>
      </w:r>
    </w:p>
    <w:p>
      <w:r>
        <w:rPr>
          <w:b/>
        </w:rPr>
        <w:t>E. 6</w:t>
      </w:r>
    </w:p>
    <w:p>
      <w:r>
        <w:t>Ainsi, le recourant n'a pas renversé la présomption selon laquelle la Croatie respecte ses obligations tirées du droit international public ainsi que l'interdiction des mauvais traitements. Il n'a pas davantage démontré,ni même rendu vraisemblable, que ses conditions d'existence dans ce pays revêtiraient un tel degré de pénibilité et de gravité qu'elles seraient constitutives d'un traitement contraire à l'art. 3 CEDH ou encore àl'art. 3 CCT. Le transfert du recourant vers cet Etat n'est donc pas contraire aux obligations de la Suisse découlant des dispositions conventionnelles auxquelles cette dernière est liée, ni au droit national.</w:t>
      </w:r>
    </w:p>
    <w:p>
      <w:r>
        <w:rPr>
          <w:b/>
        </w:rPr>
        <w:t>E. 7</w:t>
      </w:r>
    </w:p>
    <w:p>
      <w:r>
        <w:t>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III(cf. ATAF 2017 VI/5 consid. 8.5.6). C'est ainsi à juste titre que le SEM n'est pas entré en matière sur la demande d'asile du recourant, en application de l'art. 31a al. 1 let. b LAsi, et a prononcé son transfert vers la Croatie, en application de l'art. 44 LAsi, aucune exception à la règle générale du renvoi n'étant réalisée(art. 32 OA 1). Partant, le recours est rejeté.</w:t>
      </w:r>
    </w:p>
    <w:p>
      <w:r>
        <w:rPr>
          <w:b/>
        </w:rPr>
        <w:t>E. 8.1</w:t>
      </w:r>
    </w:p>
    <w:p>
      <w:r>
        <w:t>S'avérant manifestement infondé, le présent recours est examiné dans une procédure à juge unique, avec l'approbation d'un second juge(art. 111 let. e LAsi). Il est par ailleurs renoncé à un échange d'écritures et l'arrêt n'est motivé que sommairement (cf. art. 111a al. 1 et 2 LAsi).</w:t>
      </w:r>
    </w:p>
    <w:p>
      <w:r>
        <w:rPr>
          <w:b/>
        </w:rPr>
        <w:t>E. 8.2</w:t>
      </w:r>
    </w:p>
    <w:p>
      <w:r>
        <w:t>Dans la mesure où il a été immédiatement statué sur le fond, les requêtes d'octroi de l'effet suspensif et d'exemption du paiement d'une avance de frais sont sans objet. Pour le même motif, les mesures superprovisionnelles prononcées par ordonnance du 7 mars 2024 deviennent caduques.</w:t>
      </w:r>
    </w:p>
    <w:p>
      <w:r>
        <w:rPr>
          <w:b/>
        </w:rPr>
        <w:t>E. 8.3</w:t>
      </w:r>
    </w:p>
    <w:p>
      <w:r>
        <w:t>Les conclusions du recours étant d'emblée vouées à l'échec,la requête d'assistance judiciaire est rejetée.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