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F-1452/2021 vom 24. April 2023</w:t>
      </w:r>
    </w:p>
    <w:p>
      <w:r>
        <w:t>Bundesverwaltungsgericht, 2023-04-24, FR</w:t>
      </w:r>
    </w:p>
    <w:p>
      <w:r>
        <w:rPr>
          <w:b/>
        </w:rPr>
        <w:t xml:space="preserve">Quelle: </w:t>
      </w:r>
      <w:r>
        <w:t>https://mcp.opencaselaw.ch/entscheid/bvger_F-1452_2021</w:t>
      </w:r>
    </w:p>
    <w:p>
      <w:r>
        <w:t>FR: TAF F-1452/2021 du 24 avril 2023</w:t>
      </w:r>
    </w:p>
    <w:p>
      <w:r>
        <w:t>IT: TAF F-1452/2021 del 24 aprile 2023</w:t>
      </w:r>
    </w:p>
    <w:p>
      <w:pPr>
        <w:pStyle w:val="Heading2"/>
      </w:pPr>
      <w:r>
        <w:t>Regeste</w:t>
      </w:r>
    </w:p>
    <w:p>
      <w:r>
        <w:t>Assistance administrative</w:t>
      </w:r>
    </w:p>
    <w:p>
      <w:pPr>
        <w:pStyle w:val="Heading2"/>
      </w:pPr>
      <w:r>
        <w:t>Erwägungen</w:t>
      </w:r>
    </w:p>
    <w:p>
      <w:r>
        <w:rPr>
          <w:b/>
        </w:rPr>
        <w:t>E. 6.1.1</w:t>
      </w:r>
    </w:p>
    <w:p>
      <w:r>
        <w:t>Pour ce qui est des conditions de fond, la recourante argue en premier lieu que les principes de la pertinence vraisemblable et de l'interdiction de la pêche aux renseignements seraient violés. A l'appui de son grief, elle allègue avoir été fiscalement domiciliée en (...) durant la période visée, et non en France, se prévalant à cet égard de son titre de séjour (...) et de différents documents attestant de sa taxation en (...) (cf. pièces 16 à 19, 24 et 26 des bordereaux de la recourante). Les renseignements dont la transmission est envisagée seraient dès lors dépourvus de toute utilité pour le fisc français. Ils seraient de surcroît erronés, étant donné la mention d'une adresse en France dans les annexes A. La recourante soutient également que la demande ne serait fondée sur aucune preuve réelle et constituerait en conséquence une pêche aux renseignements proscrite. L'Etat requérant se serait en effet contenté de recourir à des analogies et des analyses statistiques des listes B et C, datées de 2006 et 2008, soit plusieurs années avant la période visée. Rien ne lierait au demeurant les listes A, B et C, hormis le fait qu'elles ont été trouvées lors de perquisitions en Allemagne. Selon l'intéressée, ces différents éléments ne suffiraient pas à fonder la demande, qui serait dès lors contraire aux art. 7 let. a LAAF et 28 par. 1 CDI CH-FR.</w:t>
      </w:r>
    </w:p>
    <w:p>
      <w:r>
        <w:rPr>
          <w:b/>
        </w:rPr>
        <w:t>E. 6.1.2</w:t>
      </w:r>
    </w:p>
    <w:p>
      <w:r>
        <w:t>En l'occurrence, dans l'ATF 146 II 150, le Tribunal fédéral a jugé d'une manière qui lie la Cour de céans (cf. consid. 1.5.3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5.2 supra) - répondait aux trois critères développés par la jurisprudence en lien avec les demandes groupées, applicables par analogie aux « demandes collectives », permettant d'exclure l'existence d'une « fishing expedition » (ci-avant consid. 3.5.2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l'appréciation juridique du Tribunal fédéral, il y a lieu de conclure que les arguments invoqués par la recourante ne permettent pas de conclure que la demande litigieuse constituerait une « fishing expedition » et violerait le principe de la pertinence vraisemblable.</w:t>
      </w:r>
    </w:p>
    <w:p>
      <w:r>
        <w:rPr>
          <w:b/>
        </w:rPr>
        <w:t>E. 6.1.3</w:t>
      </w:r>
    </w:p>
    <w:p>
      <w:r>
        <w:t>S'agissant plus précisément du grief tiré de l'absence de domicile en France,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3.9).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la recourante fait valoir avoir été domiciliée fiscalement durant la période sous contrôle, en l'occurrence (...), n'a pas à être examinée par la Cour de céans.</w:t>
      </w:r>
    </w:p>
    <w:p>
      <w:r>
        <w:rPr>
          <w:b/>
        </w:rPr>
        <w:t>E. 6.1.4</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6.1.2 ci-avant), le Tribunal fédéral a jugé que la demande litigieuse fournissait suffisamment d'éléments concrets permettant de soupçonner que les personnes concernées, identifiables au travers des listes B et C, avaient agi en violation du droit fiscal. Partant, la nature et la date des listes B et C sur lesquelles est fondée la demande ne permettent pas de conclure - comme l'avance la recourante - que celle-ci constituerait une pêche aux renseignements proscrite.</w:t>
      </w:r>
    </w:p>
    <w:p>
      <w:r>
        <w:rPr>
          <w:b/>
        </w:rPr>
        <w:t>E. 6.1.5</w:t>
      </w:r>
    </w:p>
    <w:p>
      <w:r>
        <w:t>Au vu de tout ce qui précède, le grief invoqué par la recourante doit être rejeté.</w:t>
      </w:r>
    </w:p>
    <w:p>
      <w:r>
        <w:rPr>
          <w:b/>
        </w:rPr>
        <w:t>E. 6.2.1</w:t>
      </w:r>
    </w:p>
    <w:p>
      <w:r>
        <w:t>Dans un second grief, la recourante se plaint d'une violation de son droit au respect de sa vie privée, tel que garanti par l'art. 8 de la Convention du 4 novembre 1950 de sauvegarde des droits de l'homme et des libertés fondamentales (CEDH, RS 0.101), en lien avec une violation du principe de proportionnalité. Elle argue que les renseignements requis tomberaient dans le champ de protection de l'art. 8 CEDH, en sorte que leur transmission serait constitutive d'une atteinte à sa vie privée. Or, les explications fournies dans la demande, en particulier s'agissant du soupçon de non-respect des obligations fiscales, ne seraient pas suffisantes pour se prononcer sur la proportionnalité de l'atteinte. En confirmant néanmoins la transmission des renseignements dans l'ATF 146 II 150, le Tribunal fédéral aurait contredit sa propre jurisprudence, respectivement commis une erreur qui devrait être corrigée par la Cour de céans.</w:t>
      </w:r>
    </w:p>
    <w:p>
      <w:r>
        <w:rPr>
          <w:b/>
        </w:rPr>
        <w:t>E. 6.2.2</w:t>
      </w:r>
    </w:p>
    <w:p>
      <w:r>
        <w:t>Afin de limiter au maximum l'atteinte à la sphère privée au sens de l'art. 8 CEDH des personnes concernées, l'art. 28 par. 1 CDI CH-FR prévoit que seuls les renseignements vraisemblablement pertinents pour l'application de la législation fiscale interne de l'un des Etats contractants, notamment, seront échangés (cf. ATF 147 II 13 consid. 3.4.2 ; voir aussi consid. 3.3 supra). Or, comme relevé plus haut (cf consid. 6.1.2 supra), le Tribunal fédéral a explicitement retenu que la demande d'assistance administrative présentée par la France fournissait des éléments suffisamment concrets pour soupçonner que les personnes figurant sur les listes B et C n'avaient pas respecté leurs obligations fiscales et que les renseignements demandés remplissaient la condition de la pertinence vraisemblable (cf. ATF 146 II 150 consid. 6.2 à 6.3). Le Tribunal de céans ne saurait donc remettre en question l'appréciation de notre Haute Cour sur ce point (cf. supra consid. 1.5.3). Quant à l'arrêt de la CourEDH G.S.B. contre Suisse du 22 décembre 2015 (n° 28601/11), dont les parties entendent toutes deux tirer argument, la Cour a certes retenu que les informations bancaires étaient des données personnelles protégées par l'art. 8 CEDH, dont la transmission constituait une ingérence dans la vie privée de la personne concernée. Elle a néanmoins considéré que l'ingérence était en l'espèce admissible, au regard de l'art. 8 par. 2 CEDH. La CourEDH a d'abord relevé que l'ingérence reposait sur une base légale suffisante, en substance une CDI et des accord ou protocole conclus ultérieurement entre les Etats parties (cf. § 29 ss et § 68-80). Elle a ensuite considéré que la transmission des renseignements répondait à un but légitime, en tant qu'elle était de nature à contribuer à la protection du bien-être économique du pays (cf. § 83-84). La Cour a enfin retenu que l'atteinte aux droits de la personne concernée était nécessaire, estimant que les intérêts économiques en jeu et l'intérêt pour la Suisse à pouvoir respecter ses engagements internationaux prévalaient sur l'intérêt individuel de la personne concernée à tenir secrète sa situation patrimoniale (cf. § 89-98). De l'appréciation du Tribunal, la présente constellation est comparable à celle déjà tranchée par la CourEDH. Le Tribunal fédéral a de surcroît déjà jugé, comme indiqué ci-avant (cf. consid. 6.1.2 supra), que la France avait fourni des éléments suffisamment concrets pour fonder un soupçon de non-respect des obligations fiscales (voir également arrêt du TAF F-5708/2020 du 7 juin 2022 consid. 10.2), l'ingérence dans les droits de la recourante étant ainsi admissible.</w:t>
      </w:r>
    </w:p>
    <w:p>
      <w:r>
        <w:rPr>
          <w:b/>
        </w:rPr>
        <w:t>E. 6.2.3</w:t>
      </w:r>
    </w:p>
    <w:p>
      <w:r>
        <w:t>En conséquence, le grief de la recourante est rejeté.</w:t>
      </w:r>
    </w:p>
    <w:p>
      <w:r>
        <w:rPr>
          <w:b/>
        </w:rPr>
        <w:t>E. 6.3.1</w:t>
      </w:r>
    </w:p>
    <w:p>
      <w:r>
        <w:t>Au moyen d'un troisième grief, la recourante reproche à l'autorité inférieure d'accéder à une demande d'assistance basée sur des données obtenues par des actes punissables au regard du droit suisse, en violation du principe de la bonne foi et de l'art. 7 let. c LAAF. Cette question juridique n'ayant pas été traitée dans l'ATF 146 II 150, il convient de l'examiner plus en détail dans la présente cause. A l'appui de son grief, la recourante avance qu'il est notoire que la demande trouve son origine dans des infractions punissables au regard du droit suisse, en particulier le service de renseignements économiques, qui ont donné lieu à une condamnation par les juridictions pénales fédérales. Selon elle, il existerait un lien de causalité entre ces actes punissables et l'obtention par la France des données sur lesquelles est fondée la demande, dès lors que sans l'achat des CDs volés par les autorités allemandes, la perquisition des locaux de la banque UBS n'aurait jamais eu lieu et, avec elle, la découverte des listes A, B et C. Arguant que l'Etat requérant ne pouvait ignorer la provenance (illicite) des données, la recourante en conclut que l'AFC aurait dû refuser d'entrer en matière sur la demande.</w:t>
      </w:r>
    </w:p>
    <w:p>
      <w:r>
        <w:rPr>
          <w:b/>
        </w:rPr>
        <w:t>E. 6.3.2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les décisions finales attaquées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Décisions finales de l'AFC, ch. 6.4).</w:t>
      </w:r>
    </w:p>
    <w:p>
      <w:r>
        <w:rPr>
          <w:b/>
        </w:rPr>
        <w:t>E. 6.3.3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et 2C_648/2017 du 17 juillet 2018 consid. 2.3.3 à 2.3.4). Ces deux éléments seront examinés successivement dans les consid. 6.3.3.1 et 6.3.3.2 ci-après.</w:t>
      </w:r>
    </w:p>
    <w:p>
      <w:r>
        <w:rPr>
          <w:b/>
        </w:rPr>
        <w:t>E. 6.3.3.1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La France a certes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 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6.3.3.2</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6.3.2 supra).</w:t>
      </w:r>
    </w:p>
    <w:p>
      <w:r>
        <w:rPr>
          <w:b/>
        </w:rPr>
        <w:t>E. 6.3.4</w:t>
      </w:r>
    </w:p>
    <w:p>
      <w:r>
        <w:t>Le grief tiré de la violation du principe de la bonne foi est dès lors rejeté.</w:t>
      </w:r>
    </w:p>
    <w:p>
      <w:r>
        <w:rPr>
          <w:b/>
        </w:rPr>
        <w:t>E. 6.4.1</w:t>
      </w:r>
    </w:p>
    <w:p>
      <w:r>
        <w:t>Dans un quatrième grief, la recourante avance que les autorités françaises auraient violé le principe de subsidiarité. La DGFiP n'aurait en effet pas épuisé tous les moyens d'enquête à sa disposition, dès lors qu'elle aurait dû comparer les données des listes B et C avec les données reçues dans le cadre de l'échange automatique d'informations en cours entre la Suisse et la France depuis le 1er janvier 2017 - à tout le moins l'AFC aurait-elle, selon l'intéressée, dû l'y inviter.</w:t>
      </w:r>
    </w:p>
    <w:p>
      <w:r>
        <w:rPr>
          <w:b/>
        </w:rPr>
        <w:t>E. 6.4.2</w:t>
      </w:r>
    </w:p>
    <w:p>
      <w:r>
        <w:t>En l'espèce, la DGFiP a expressément mentionné dans le courrier accompagnant sa demande que « les moyens de collecte du renseignement, prévus par (sa) procédure fiscale interne et utilisables à ce stade, ont été épuisés », et ce, conformément aux exigences du ch. XI par. 1 du Protocole additionnel de la CDI CH-FR. Compte tenu du fait que les relations internationales sont basées sur le principe de la confiance (cf. consid. 3.4.2 supra), les seules allégations de la recourante ne sont pas de nature à remettre en cause l'affirmation susmentionnée des autorités françaises confirmant que le principe de subsidiarité a été respecté. Le Tribunal relève au demeurant que le respect du principe de subsidiarité s'examine au moment de la formulation de la demande. Ce principe vise en effet à ce qu'une demande d'assistance administrative ne soit déposée qu'après que l'Etat requérant ait épuisé ses sources habituelles de renseignement. Il en découle qu'il importe peu, à l'aune de ce principe, que l'Etat requérant obtienne des informations relatives à la personne concernée par d'autres biais en cours de procédure (cf. ATF 144 II 206 consid. 3.3.1). Aussi, dès lors que la demande a été déposée le 11 mai 2016, soit avant la mise en oeuvre de l'échange automatique d'informations avec la France, aucune violation du principe de subsidiarité n'est constatée.</w:t>
      </w:r>
    </w:p>
    <w:p>
      <w:r>
        <w:rPr>
          <w:b/>
        </w:rPr>
        <w:t>E. 6.4.3</w:t>
      </w:r>
    </w:p>
    <w:p>
      <w:r>
        <w:t>Au vu de ce qui précède, le grief de la recourante est rejeté.</w:t>
      </w:r>
    </w:p>
    <w:p>
      <w:r>
        <w:rPr>
          <w:b/>
        </w:rPr>
        <w:t>E. 6.5.1</w:t>
      </w:r>
    </w:p>
    <w:p>
      <w:r>
        <w:t>La recourante plaide ensuite que le principe de spécialité aurait été violé. Les données sur lesquelles est fondée la demande auraient en effet été obtenues dans un contexte pénal, soit dans le cadre d'une perquisition des locaux de la banque UBS effectuée par les autorités pénales allemandes. Or, rien ne justifiait que celles-ci transmettent dites données aux autorités fiscales allemandes - lesquelles les ont, à leur tour, transmises aux autorités françaises. La recourante estime dès lors que ces informations auraient dû faire l'objet, le cas échéant, d'une procédure d'entraide pénale et qualifie la transmission intervenue en l'espèce de contraire au principe de spécialité.</w:t>
      </w:r>
    </w:p>
    <w:p>
      <w:r>
        <w:rPr>
          <w:b/>
        </w:rPr>
        <w:t>E. 6.5.2</w:t>
      </w:r>
    </w:p>
    <w:p>
      <w:r>
        <w:t>Le principe de spécialité vise à limiter les possibilités d'utilisation des renseignements transmis dans le cadre d'une procédure d'assistance, en ce sens que l'Etat requérant ne peut les utiliser qu'à l'égard des personnes et des agissements pour lesquels il les a demandées et pour lesquels elles lui ont été transmises (cf consid. 3.6 supra). Or, le Tribunal ne discerne pas dans le cas d'espèce de violation de ce principe par l'Etat requérant, qui a obtenu les informations en question dans le cadre de la coopération administrative dans le domaine fiscal - ni d'ailleurs par l'Allemagne, qui n'a pas obtenu les données litigieuses par voie d'assistance administrative. Quant à la question de savoir si lesdites données pouvaient être exploitées dans le cadre d'une procédure de recouvrement de l'impôt en France, elle relève du droit français et doit donc, le cas échéant, être soulevée dans le cadre de la procédure française.</w:t>
      </w:r>
    </w:p>
    <w:p>
      <w:r>
        <w:rPr>
          <w:b/>
        </w:rPr>
        <w:t>E. 6.5.3</w:t>
      </w:r>
    </w:p>
    <w:p>
      <w:r>
        <w:t>Mal fondé, le moyen de la recourante est rejeté.</w:t>
      </w:r>
    </w:p>
    <w:p>
      <w:r>
        <w:rPr>
          <w:b/>
        </w:rPr>
        <w:t>E. 6.6.1</w:t>
      </w:r>
    </w:p>
    <w:p>
      <w:r>
        <w:t>Par un dernier grief, la recourante se plaint d'une violation du champ d'application temporel de la CDI CH-FR. Elle excipe de l'art. 2 al. 1 de l'ordonnance du 23 novembre 2016 sur l'assistance administrative internationale en matière fiscale (OAAF, RS 651.11), qui prévoit que les demandes groupées sont admises pour les renseignements relatifs à des faits survenus à partir du 1er février 2013, et soutient qu'il devrait, par souci de cohérence, s'appliquer aux demandes collectives comme celle de l'espèce. La recourante conclut dès lors, à titre subsidiaire, à ce qu'il ne soit pas entré en matière sur la demande s'agissant des faits survenus avant la date précitée.</w:t>
      </w:r>
    </w:p>
    <w:p>
      <w:r>
        <w:rPr>
          <w:b/>
        </w:rPr>
        <w:t>E. 6.6.2</w:t>
      </w:r>
    </w:p>
    <w:p>
      <w:r>
        <w:t>A cet égard, il est relevé que le Tribunal fédéral a explicitement indiqué que la date du 1er février 2013 ne concernait que les demandes groupées (cf. ATF 146 II 150 consid. 5.5 s.), à l'exclusion des demandes collectives (cf. consid. 3.1.2 supra). Le Tribunal de céans ne distingue pas de motifs suffisants pour remettre en question cette interprétation, étant rappelé qu'il est lié par les considérants de l'arrêt en question (cf. supra consid. 1.5.3).</w:t>
      </w:r>
    </w:p>
    <w:p>
      <w:r>
        <w:rPr>
          <w:b/>
        </w:rPr>
        <w:t>E. 6.6.3</w:t>
      </w:r>
    </w:p>
    <w:p>
      <w:r>
        <w:t>Partant, le grief de la recourante est rejeté.</w:t>
      </w:r>
    </w:p>
    <w:p>
      <w:r>
        <w:rPr>
          <w:b/>
        </w:rPr>
        <w:t>E. 7.1</w:t>
      </w:r>
    </w:p>
    <w:p>
      <w:r>
        <w:t>Compte tenu de ce qui précède, les recours sont rejetés. La recourante, qui succombe, doit supporter les frais de procédure, lesquels se montent, compte tenu de la charge de travail liée à la procédure, à Fr. 7'500.- (cf. art. 63 al. 1 PA et art. 4 du règlement du 21 février 2008 concernant les frais, dépens et indemnités fixés par le TAF [FITAF, RS 173.320.2]). Ils seront prélevés sur les avances de frais déjà versées de Fr. 10'000.-. Le solde de Fr. 2'500.- lui sera restitué une fois le présent arrêt définitif et exécutoire.</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