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F-1445/2019 vom 5. Juli 2021</w:t>
      </w:r>
    </w:p>
    <w:p>
      <w:r>
        <w:t>Bundesverwaltungsgericht, 2021-07-05, FR</w:t>
      </w:r>
    </w:p>
    <w:p>
      <w:r>
        <w:rPr>
          <w:b/>
        </w:rPr>
        <w:t xml:space="preserve">Quelle: </w:t>
      </w:r>
      <w:r>
        <w:t>https://mcp.opencaselaw.ch/entscheid/bvger_F-1445_2019</w:t>
      </w:r>
    </w:p>
    <w:p>
      <w:r>
        <w:t>FR: TAF F-1445/2019 du 5 juillet 2021</w:t>
      </w:r>
    </w:p>
    <w:p>
      <w:r>
        <w:t>IT: TAF F-1445/2019 del 5 luglio 2021</w:t>
      </w:r>
    </w:p>
    <w:p>
      <w:pPr>
        <w:pStyle w:val="Heading2"/>
      </w:pPr>
      <w:r>
        <w:t>Regeste</w:t>
      </w:r>
    </w:p>
    <w:p>
      <w:r>
        <w:t>UE/AELE</w:t>
      </w:r>
    </w:p>
    <w:p>
      <w:pPr>
        <w:pStyle w:val="Heading2"/>
      </w:pPr>
      <w:r>
        <w:t>Erwägungen</w:t>
      </w:r>
    </w:p>
    <w:p>
      <w:r>
        <w:rPr>
          <w:b/>
        </w:rPr>
        <w:t>E. 9.1</w:t>
      </w:r>
    </w:p>
    <w:p>
      <w:r>
        <w:t>Il s'ensuit que le recours doit être admis et la décision querellée du 20 février 2019 réformée, en ce sens que la prolongation de l'autorisation de séjour UE/AELE du recourant (respectivement la délivrance en sa faveur d'une autorisation de séjour UE/AELE fondée sur sa qualité de travailleur) est approuvée. Conformément à l'art. 86 al. 1 OASA (en relation les art. 40 al. 1 et 99 LEtr), la présente approbation est cependant soumise à la condition que le recourant poursuive, sur une longue durée (respectivement aussi longtemps qu'une prise en charge spécialisée dans les conduites sexuelles transgressives sera indiquée à la lumière des recommandations émises dans la littérature scientifique spécialisée), la psychothérapie intégrant la problématique de la pédophilie qu'il a entreprise auprès du Service de médecine et psychiatrie pénitentiaire du CHUV, et qu'il transmette spontanément à l'autorité cantonale de migration, une fois l'an (la première fois au mois de janvier 2023), un rapport établi par un(e) psychiatre de ce Service. Ce rapport psychiatrique se prononcera sur le déroulement et les résultats du traitement psychothérapeutique suivi par le recourant, sur le risque de commission de nouveaux actes punissables en lien avec la problématique de la pédophilie existant en l'espèce et sur la fréquence du suivi requis (à la lumière des recommandations émises dans la littérature scientifique spécialisée) afin d'endiguer ce risque, et confirmera le cas échéant que l'intéressé s'est régulièrement présenté à tous les entretiens qui lui ont été fixés au cours de l'année écoulée (en indiquant les dates précises de ces consultations) et qu'il continue de s'investir de manière sérieuse et authentique dans sa thérapie.</w:t>
      </w:r>
    </w:p>
    <w:p>
      <w:r>
        <w:rPr>
          <w:b/>
        </w:rPr>
        <w:t>E. 9.2</w:t>
      </w:r>
    </w:p>
    <w:p>
      <w:r>
        <w:t>L'autorité cantonale de migration est par ailleurs invitée à vérifier une fois l'an, à réception de ce rapport psychiatrique (la première fois au mois de février 2023), que le recourant ne fait pas l'objet d'une nouvelle enquête ou procédure pénale.</w:t>
      </w:r>
    </w:p>
    <w:p>
      <w:r>
        <w:rPr>
          <w:b/>
        </w:rPr>
        <w:t>E. 9.3</w:t>
      </w:r>
    </w:p>
    <w:p>
      <w:r>
        <w:t>Il s'impose en outre d'adresser au recourant un avertissement formel au sens de l'art. 96 al. 2 LEtr (dans le même sens, cf. arrêt du TF 2C_85/ 2021 du 7 mai 2021 consid. 5.2.3, et la jurisprudence citée; arrêt du TAF F-1734/2019 du 23 mars 2020 consid. 11.2), en attirant fermement son attention sur le fait que la présente approbation implique qu'il s'abstienne de commettre de nouvelles infractions à l'avenir et qu'en cas de nouveaux agissements coupables d'une certaine gravité ou de réitération d'actes punissables de même nature, les autorités compétentes pourraient être amenées à révoquer son autorisation de séjour UE/AELE (ou à refuser de la renouveler) et à prononcer son renvoi de Suisse, tout en lui signifiant une interdiction d'entrée d'une durée supérieure à cinq ans (cf. art. 67 al. 3 2ème phrase LEtr).</w:t>
      </w:r>
    </w:p>
    <w:p>
      <w:r>
        <w:rPr>
          <w:b/>
        </w:rPr>
        <w:t>E. 10.1</w:t>
      </w:r>
    </w:p>
    <w:p>
      <w:r>
        <w:t>Obtenant gain de cause, le recourant n'a pas à supporter de frais de procédure (cf. art. 63 al. 1 1ère phrase a contrario PA), pas plus que l'autorité inférieure qui succombe (cf. art. 63 al. 2 PA).</w:t>
      </w:r>
    </w:p>
    <w:p>
      <w:r>
        <w:rPr>
          <w:b/>
        </w:rPr>
        <w:t>E. 10.2</w:t>
      </w:r>
    </w:p>
    <w:p>
      <w:r>
        <w:t>Il convient par ailleurs d'allouer au recourant une indemnité équitable à titre de dépens, à la charge de l'autorité inférieure, pour les frais "indispensables et relativement élevés" qui lui ont été occasionnés par la présente procédure de recours (cf. art. 64 al. 1 et 2 PA, en relation avec l'art. 7 al. 1 et al. 4 FITAF [RS 173.320.2]), étant précisé que les frais "non nécessaires" ne sont pas indemnisés (cf. art. 8 al. 2 FITAF). En l'absence de note de frais, l'indemnité due est fixée sur la base du dossier (cf. art. 14 al. 2 FITAF). Au regard de l'ensemble des circonstances, notamment du tarif applicable, de l'importance et du degré de complexité de la cause et du temps nécessaire à la défense des intérêts du recourant (en considération du fait que ce dernier était déjà représenté par le même mandataire dans le cadre de la procédure de première instance et de la procédure pénale), il convient de fixer l'indemnité due à ce dernier à titre de dépens (cf. art. 8 à 11 FITAF) à un montant de 1'700 francs, débours et supplément TVA compris (cf. art. 9 al. 1 let. b 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