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F-1442/2021 vom 12. April 2022</w:t>
      </w:r>
    </w:p>
    <w:p>
      <w:r>
        <w:t>Bundesverwaltungsgericht, 2022-04-12, FR</w:t>
      </w:r>
    </w:p>
    <w:p>
      <w:r>
        <w:rPr>
          <w:b/>
        </w:rPr>
        <w:t xml:space="preserve">Quelle: </w:t>
      </w:r>
      <w:r>
        <w:t>https://mcp.opencaselaw.ch/entscheid/bvger_F-1442_2021</w:t>
      </w:r>
    </w:p>
    <w:p>
      <w:r>
        <w:t>FR: TAF F-1442/2021 du 12 avril 2022</w:t>
      </w:r>
    </w:p>
    <w:p>
      <w:r>
        <w:t>IT: TAF F-1442/2021 del 12 aprile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portugais (cf. art. 1 al. 2 LTAF en relation avec l'art. 83 al. 1 let. c ch. 1 ; arrêts du Tribunal fédéral [ci-après : TF] 2C_135/2017 du 21 février 2017 consid. 5 ; 2C_344/2016 du 6 septembre 2016 consid. 1.1 et les réf. cit.).</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3.2</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w:t>
      </w:r>
    </w:p>
    <w:p>
      <w:r>
        <w:rPr>
          <w:b/>
        </w:rPr>
        <w:t>E. 4.1</w:t>
      </w:r>
    </w:p>
    <w:p>
      <w:r>
        <w:t>Dans la mesure où le recourant, en tant que citoyen portugais, est un ressortissant de l'Union européenne, il convient de vérifier si la mesure d'éloignement prononcée à son endroit est conforme à l'ALCP (RS 0.142.112.681 ; arrêt du TF 2C_1045/2011 du 18 avril 2012 consid. 2.1 ; arrêt du TAF F-2522/2015 du 2 juin 2017 consid. 5). Aux termes de son art. 2 al. 2, la LEI n'est applicable aux ressortissants des Etats membres de l'Union européenne que si l'ALCP n'en dispose pas autrement ou lorsque ladite loi contient des dispositions plus favorables.</w:t>
      </w:r>
    </w:p>
    <w:p>
      <w:r>
        <w:rPr>
          <w:b/>
        </w:rPr>
        <w:t>E. 4.2</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(CJCE),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136 II 5 consid. 3.4 et 130 II 1 consid. 3.6).</w:t>
      </w:r>
    </w:p>
    <w:p>
      <w:r>
        <w:rPr>
          <w:b/>
        </w:rPr>
        <w:t>E. 4.3</w:t>
      </w:r>
    </w:p>
    <w:p>
      <w:r>
        <w:t>Conformément à la jurisprudence du Tribunal fédéral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136 II 5 consid. 4.2 et la jurisprudence citée).</w:t>
      </w:r>
    </w:p>
    <w:p>
      <w:r>
        <w:rPr>
          <w:b/>
        </w:rPr>
        <w:t>E. 4.4</w:t>
      </w:r>
    </w:p>
    <w:p>
      <w:r>
        <w:t>Les mesures d'ordre ou de sécurité publics doivent être fondées exclusivement sur le comportement personnel de l'individu qui en fait l'objet (art. 3 par. 1 de la directive 64/221/CEE). Des motifs de prévention générale détachés du cas individuel ne sauraient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136 II 5 consid. 4.2, 134 II 25 consid. 4.3.2 et 130 Il 493 consid. 3.3). Le Tribunal fédéral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arrêts du TF 2C_643/2014 du 13 décembre 2014 consid. 5.3, 2C_436/2014 consid. 3.3 et 2C_565/2013 du 6 décembre 2013 consid. 3.5 in fine, et jurisprudence citée).</w:t>
      </w:r>
    </w:p>
    <w:p>
      <w:r>
        <w:rPr>
          <w:b/>
        </w:rPr>
        <w:t>E. 4.5</w:t>
      </w:r>
    </w:p>
    <w:p>
      <w:r>
        <w:t>Par conséquent, pour pouvoir faire l'objet d'une interdiction d'entrée en application de l'art. 67 al. 2 let. a LEI, il faut que la personne qui peut se prévaloir de l'ALCP représente une menace d'une certaine gravité pour l'ordre et la sécurité publics, de nature à la priver de son droit d'entrer en Suisse au sens de l'art. 5 Annexe I ALCP (cf., notamment, ATF 139 II 121 consid. 5.4 ; arrêt du TF 2C_862/2013 consid. 4.3 in fine).</w:t>
      </w:r>
    </w:p>
    <w:p>
      <w:r>
        <w:rPr>
          <w:b/>
        </w:rPr>
        <w:t>E. 5.1</w:t>
      </w:r>
    </w:p>
    <w:p>
      <w:r>
        <w:t>En l'espèce, il convient de déterminer en premier lieu si l'interdiction d'entrée prononcée par le SEM à l'encontre de l'intéressé respecte les conditions légales de l'art. 67 al. 2 let. a LEI en lien avec l'art. 5 de l'annexe I ALCP.</w:t>
      </w:r>
    </w:p>
    <w:p>
      <w:r>
        <w:rPr>
          <w:b/>
        </w:rPr>
        <w:t>E. 5.2</w:t>
      </w:r>
    </w:p>
    <w:p>
      <w:r>
        <w:t>Dans sa décision, le SEM a retenu que, par son comportement délictueux, l'intéressé avait porté atteinte à l'ordre et la sécurité publics en Suisse (art. 67 al. 2 let. a LEI). L'autorité intimée a en outre observé que le recourant n'avait fait valoir aucun intérêt privé pertinent, susceptible de l'emporter sur l'intérêt public à ce que ses entrées en Suisse soient dorénavant contrôlées.</w:t>
      </w:r>
    </w:p>
    <w:p>
      <w:r>
        <w:rPr>
          <w:b/>
        </w:rPr>
        <w:t>E. 5.3</w:t>
      </w:r>
    </w:p>
    <w:p>
      <w:r>
        <w:t>Au stade du recours, l'intéressé a reconnu avoir eu un comportement pénalement répréhensible en Suisse et avoir « commis des erreurs ». Il a souligné regretter son passé et souhaiter reconstruire une vie meilleure, trouver un emploi et garder des contacts avec ses enfants séjournant en Suisse.</w:t>
      </w:r>
    </w:p>
    <w:p>
      <w:r>
        <w:rPr>
          <w:b/>
        </w:rPr>
        <w:t>E. 5.4</w:t>
      </w:r>
    </w:p>
    <w:p>
      <w:r>
        <w:t>Le Tribunal constate qu'entre 2012 et 2020, le recourant a fait l'objet de plusieurs condamnations pénales en Suisse et qu'il a été reconnu coupable de nombreuses infractions, notamment d'injures, de menaces, de délits contre la LAVS ainsi que de contraventions, délits et crimes contre la LStup. Dans ces circonstances, il convient de retenir que l'intéressé a incontestablement attenté à la sécurité et à l'ordre publics suisse, de sorte qu'il remplit les conditions d'application de l'art. 67 al. 2 let. a LEI.</w:t>
      </w:r>
    </w:p>
    <w:p>
      <w:r>
        <w:rPr>
          <w:b/>
        </w:rPr>
        <w:t>E. 5.5</w:t>
      </w:r>
    </w:p>
    <w:p>
      <w:r>
        <w:t>Par ailleurs, les infractions commises par l'intéressé doivent être qualifiées de graves. En effet, à deux reprises (en 2012 et 2017), le recourant a été condamné pour son implication dans le trafic de cocaïne. En 2017, les juges pénaux ont retenu qu'il avait agi comme chef et organisateur du commerce clandestin des drogues dans un cadre international. Sa faute a été jugée comme « lourde », dès lors qu'il n'avait agi que par appât du gain et qu'il n'avait pas hésité à reprendre son activité délictueuse après sa sortie de prison en octobre 2012. A cela s'ajoute que les infractions à la LStup commises par le recourant ont été qualifiées de crimes par métier, avec une mise en danger de la santé de nombreuses personnes. Ainsi, la culpabilité de l'intéressé est très lourde. Enfin, par son comportement récidivant, l'intéressé a démontré son incapacité à respecter les règles en vigueur en Suisse ainsi qu'une incapacité à s'amender, les condamnations à des peines pécuniaires ou à des amendes, puis à des peines privatives de liberté, n'ayant pas suffi à lui faire adopter un comportement conforme à l'ordre juridique. Dans ces conditions, le risque de récidive est grand et ne peut aucunement être écarté.</w:t>
      </w:r>
    </w:p>
    <w:p>
      <w:r>
        <w:rPr>
          <w:b/>
        </w:rPr>
        <w:t>E. 5.6</w:t>
      </w:r>
    </w:p>
    <w:p>
      <w:r>
        <w:t>Tenant compte de ce qui précède, le Tribunal constate que l'intéressé constitue bien une menace d'une certaine gravité tant actuelle que réelle à l'ordre et la sécurité publics, justifiant la prononcé d'une mesure d'éloignement à son encontre.</w:t>
      </w:r>
    </w:p>
    <w:p>
      <w:r>
        <w:rPr>
          <w:b/>
        </w:rPr>
        <w:t>E. 6.1</w:t>
      </w:r>
    </w:p>
    <w:p>
      <w:r>
        <w:t>Reste à examiner si le prononcé d'une interdiction d'entrée d'une durée de trois ans satisfait aux principes de proportionnalité et d'égalité de traitement.</w:t>
      </w:r>
    </w:p>
    <w:p>
      <w:r>
        <w:rPr>
          <w:b/>
        </w:rPr>
        <w:t>E. 6.2</w:t>
      </w:r>
    </w:p>
    <w:p>
      <w:r>
        <w:t>Lorsque l'autorité administrative prononce une interdiction d'entrée, elle doit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6.3</w:t>
      </w:r>
    </w:p>
    <w:p>
      <w:r>
        <w:t>En l'espèce, il est indéniable que l'éloignement de l'intéressé du territoire suisse est apte à atteindre les buts visés, à savoir, protéger l'ordre et la sécurité publics et écarter le risque de récidive d'un comportement délictueux (cf. arrêt du TAF F-1693/2018 du 13 septembre 2019 consid. 9.3).</w:t>
      </w:r>
    </w:p>
    <w:p>
      <w:r>
        <w:rPr>
          <w:b/>
        </w:rPr>
        <w:t>E. 6.4</w:t>
      </w:r>
    </w:p>
    <w:p>
      <w:r>
        <w:t>La mesure prononcée est également nécessaire étant donné que les buts qu'elle vise, ci-dessus mentionnés, ne peuvent pas être atteints, à ce jour, de manière moins invasive que par l'éloignement de l'intéressé du territoire suisse.</w:t>
      </w:r>
    </w:p>
    <w:p>
      <w:r>
        <w:rPr>
          <w:b/>
        </w:rPr>
        <w:t>E. 6.5</w:t>
      </w:r>
    </w:p>
    <w:p>
      <w:r>
        <w:t>Concernant la règle de la proportionnalité au sens étroit, il sied de procéder à une pesée des intérêts en présence, à savoir d'un côté l'intérêt public à tenir le recourant éloigné afin de protéger l'ordre et la sécurité publics, et, d'un autre côté, l'intérêt privé du recourant à pouvoir entrer librement sur le territoire suisse.</w:t>
      </w:r>
    </w:p>
    <w:p>
      <w:r>
        <w:rPr>
          <w:b/>
        </w:rPr>
        <w:t>E. 6.5.1</w:t>
      </w:r>
    </w:p>
    <w:p>
      <w:r>
        <w:t>S'agissant de l'intérêt public à l'éloignement du recourant de Suisse, le Tribunal observe que les motifs retenus à l'appui de la mesure prononcée ne sauraient être contestés. L'intéressé a en effet fait l'objet de plusieurs condamnations pénales en Suisse, a porté atteinte à la protection des biens juridiques d'importance (mise en danger de la santé de nombreuses personnes) et a ainsi fait montre d'un comportement irrespectueux des règles et d'une incapacité à se conformer à l'ordre juridique. Dans ces conditions, l'intérêt public à l'éloignement du recourant de Suisse doit être qualifié d'important.</w:t>
      </w:r>
    </w:p>
    <w:p>
      <w:r>
        <w:rPr>
          <w:b/>
        </w:rPr>
        <w:t>E. 6.5.2</w:t>
      </w:r>
    </w:p>
    <w:p>
      <w:r>
        <w:t>Quant à l'intérêt privé, le recourant a fait valoir la présence en Suisse de ses deux fils et sa volonté de pouvoir rester en contact avec eux. Implicitement donc, l'intéressé s'est prévalu de la protection de la vie privée et familiale, garantie par l'art 8 CEDH.</w:t>
      </w:r>
    </w:p>
    <w:p>
      <w:r>
        <w:rPr>
          <w:b/>
        </w:rPr>
        <w:t>E. 6.5.3</w:t>
      </w:r>
    </w:p>
    <w:p>
      <w:r>
        <w:t>Sur ce point, il convient de relever d'emblée que les deux fils de l'intéressé sont aujourd'hui majeurs, qu'il n'existe entre eux et leur père aucun lien de dépendance et que ce dernier est divorcé de son épouse. Partant, l'éloignement du recourant ne soulève aucune question sous l'angle du droit au respect de la vie familiale selon l'art. 8 CEDH.</w:t>
      </w:r>
    </w:p>
    <w:p>
      <w:r>
        <w:rPr>
          <w:b/>
        </w:rPr>
        <w:t>E. 6.5.4</w:t>
      </w:r>
    </w:p>
    <w:p>
      <w:r>
        <w:t>Par surabondance des motifs, il convient toutefois de préciser qu'en l'espèce, l'impossibilité pour le recourant de résider en Suisse et d'entretenir des contacts réguliers avec ses fils dans ce pays ne résulte pas de la mesure litigieuse d'interdiction d'entrée mais du fait qu'il n'est titulaire d'aucune autorisation de séjour. Il s'ensuit que l'appréciation de la situation du recourant susceptible d'être opérée sous l'angle de l'art. 8 CEDH dans le cadre de la présente procédure ne viserait qu'à examiner si l'interdiction d'entrée, prononcée à son endroit, complique de façon disproportionnée le maintien de ses relations avec ses fils qui résident en Suisse.</w:t>
      </w:r>
    </w:p>
    <w:p>
      <w:r>
        <w:rPr>
          <w:b/>
        </w:rPr>
        <w:t>E. 6.5.5</w:t>
      </w:r>
    </w:p>
    <w:p>
      <w:r>
        <w:t>Or, force est de constater que tel n'est pas le cas en l'espèce. Le recourant peut en effet entretenir avec ses fils des relations régulières par téléphone, lettres, messages électroniques ou par le biais d'autres moyens de communication modernes. Par ailleurs, ses enfants, aujourd'hui adultes, peuvent organiser des séjours ou vacances au Portugal pour rendre visite à leur père.</w:t>
      </w:r>
    </w:p>
    <w:p>
      <w:r>
        <w:rPr>
          <w:b/>
        </w:rPr>
        <w:t>E. 6.5.6</w:t>
      </w:r>
    </w:p>
    <w:p>
      <w:r>
        <w:t>Enfin, il est vrai que le recourant, qui est venu sur le territoire helvétique en (...), soit à l'âge de (...) ans, peut se prévaloir d'une certaine intégration en Suisse, pays dans lequel il a grandi, où il a suivi sa scolarité obligatoire, puis travaillé. Ces éléments personnels isolés ne sauraient toutefois être considérés comme suffisants pour contrebalancer l'intérêt public qui consiste en l'espèce à garantir la sécurité publique et qui s'avère prépondérant. De plus, l'intégration de l'intéressé en Suisse se doit d'être fortement relativisée au vu de ses nombreuses condamnations pénales.</w:t>
      </w:r>
    </w:p>
    <w:p>
      <w:r>
        <w:rPr>
          <w:b/>
        </w:rPr>
        <w:t>E. 6.6</w:t>
      </w:r>
    </w:p>
    <w:p>
      <w:r>
        <w:t>Au vu de ce qui précède, l'intérêt privé avancé par le recourant ne saurait être considéré comme prépondérant par rapport à l'intérêt public à son éloignement de Suisse.</w:t>
      </w:r>
    </w:p>
    <w:p>
      <w:r>
        <w:rPr>
          <w:b/>
        </w:rPr>
        <w:t>E. 6.7</w:t>
      </w:r>
    </w:p>
    <w:p>
      <w:r>
        <w:t>Eu égard à ce qui précède, le Tribunal constate que la mesure d'éloignement, prise par l'autorité inférieure le 18 février 2021, est nécessaire et adéquate afin de prévenir toute nouvelle atteinte à la sécurité et l'ordre publics en Suisse. En outre, compte tenu du caractère répétitif d'infractions commises par l'intéressé et de leur calibre grave (atteintes à la LStup), sa durée (trois ans) respecte le principe de proportionnalité.</w:t>
      </w:r>
    </w:p>
    <w:p>
      <w:r>
        <w:rPr>
          <w:b/>
        </w:rPr>
        <w:t>E. 7</w:t>
      </w:r>
    </w:p>
    <w:p>
      <w:r>
        <w:t>Enfin, le Tribunal constate qu'il n'existe pas de raisons humanitaires ou d'autres motifs importants justifiant l'abstention ou la suspension de la mesure d'éloignement au sens de l'art. 67 al. 5 LEI.</w:t>
      </w:r>
    </w:p>
    <w:p>
      <w:r>
        <w:rPr>
          <w:b/>
        </w:rPr>
        <w:t>E. 8</w:t>
      </w:r>
    </w:p>
    <w:p>
      <w:r>
        <w:t>Tenant compte de ce qui précède, il y a lieu de constater que par sa décision du 18 février 2021, le SEM n'a ni violé le droit fédéral, ni constaté des faits pertinents de manière inexacte ou incomplète. En outre, la décision attaquée n'est pas inopportune (art. 49 PA). En conséquence, le recours est rejeté.</w:t>
      </w:r>
    </w:p>
    <w:p>
      <w:r>
        <w:rPr>
          <w:b/>
        </w:rPr>
        <w:t>E. 9</w:t>
      </w:r>
    </w:p>
    <w:p>
      <w:r>
        <w:t>Au vu de l'issue de la cause, il y a lieu de mettre les frais de procédure à la charge du recourant (art. 63 al. 1 PA en relation avec les art. 1 à 3 du règlement du 21 février 2008 concernant les frais, dépens et indemnités fixés par le Tribunal administratif fédéral [FITAF, RS 172.320.2]). Dans le cas d'espèce, ceux-ci s'élèvent à 800 francs. Ce montant est couvert par l'avance de frais versée le 8 mai 2021.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