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F-1430/2026 vom 6. März 2026</w:t>
      </w:r>
    </w:p>
    <w:p>
      <w:r>
        <w:t>Bundesverwaltungsgericht, 2026-03-06, DE</w:t>
      </w:r>
    </w:p>
    <w:p>
      <w:r>
        <w:rPr>
          <w:b/>
        </w:rPr>
        <w:t xml:space="preserve">Quelle: </w:t>
      </w:r>
      <w:r>
        <w:t>https://mcp.opencaselaw.ch/entscheid/bvger_F-1430_2026</w:t>
      </w:r>
    </w:p>
    <w:p>
      <w:r>
        <w:t>FR: TAF F-1430/2026 du 6 mars 2026</w:t>
      </w:r>
    </w:p>
    <w:p>
      <w:r>
        <w:t>IT: TAF F-1430/2026 del 6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b Dublin-III-VO grundsätzlich Litauen für die Behandlung des Asylgesuchs der Beschwerdeführerin zuständig ist, dass das litauische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der Beschwerdeführerin im Hinblick auf ihre Inhaftierung in Litauen, ihren Verlobten in der Schweiz (unter Prüfung von Art. 8 Ziff. 1 EMRK) sowie die Suizidalität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in Anwendung von Art. 44 AsylG ihre Wegweisung nach Litauen angeordnet. Zur näheren Begründung wird auf die Erwägungen der Vorinstanz verwiesen.</w:t>
      </w:r>
    </w:p>
    <w:p>
      <w:r>
        <w:rPr>
          <w:b/>
        </w:rPr>
        <w:t>E. 2.2</w:t>
      </w:r>
    </w:p>
    <w:p>
      <w:r>
        <w:t>Was die Beschwerdeführerin auf Rechtsmittelebene vorträgt, vermag an der Richtigkeit der angefochtenen Verfügung nichts zu ändern. Die Vorbringen, wonach sie in Litauen schlecht behandelt worden sei, werden weder substantiiert dargelegt noch bewiesen. Im Übrigen lassen Behauptungen betreffend isolierte Vorkommnisse ohnehin nicht den Schluss zu, es lägen systemische Schwachstellen im Sinn von Art. 3 Abs. 2 Dublin-III-VO vor. An der Einschätzung der Vorinstanz - wonach zwischen den Partnern keine tatsächlich gelebte, dauerhafte Beziehung von eheähnlicher Intensität und Stabilität vorliegt, wie sie von Art. 8 Ziff. 1 EMRK geschützt wird - vermag auch das in der Zwischenzeit eingeleitete Ehevorbereitungsverfahren nichts zu ändern. Gemäss den Angaben der Beschwerdeführerin seien sie zwar seit dem Jahr 2020 zusammen, hätten sich aber seit dem Kennenlernen im Jahr 2020 erst im Januar 2026 in der Schweiz wiedergesehen und zuvor nur über elektronische Kommunikationsmittel Kontakt gehabt. Das Paar hat keine Kinder, ist nicht finanziell miteinander verflochten und weder aus den Akten noch aus den Vorbringen der Beschwerdeführerin ergeben sich Anhaltspunkte, die auf eine besondere Konstanz der Beziehung im Sinne der Rechtsprechung schliessen liessen. Eine zwangsweise Rückweisung von Personen mit gesundheitlichen Problemen kann nur ganz ausnahmsweise einen Verstoss gegen Art. 3 EMRK darstellen (vgl. dazu Urteil des EGMR Paposhvili gegen Belgien vom 13. Dezember 2016, Grosse Kammer, Nr. 41738/10, §§ 180-193, bestätigt durch Urteil des EGMR Savran gegen Dänemark vom 7. Dezember 2021, Grosse Kammer, Nr. 57467/15, §§ 121 ff.). Die - erstmals auf Beschwerdeebene vorgebrachten - psychischen Beeinträchtigungen der Beschwerdeführerin sind im vorliegenden Fall nicht derart gravierend, dass gestützt auf Art. 3 EMRK von einer Überstellung nach Litauen abgesehen werden müsste. Bezüglich der Frage einer möglichen Gefahr der Suizidalität ist der Vollständigkeit halber darauf hinzuweisen, dass gemäss Rechtsprechung Suizidalität grundsätzlich kein Vollzugshindernis darstellt (vgl. Urteil des BGer 2C_221/2020 vom 19. Juni 2020 E. 2 sowie statt vieler: Urteile des BVGer F-2702/2024 vom 27. Mai 2024 E. 7.3.4; F-5061/2022 vom 15. März 2023 E. 8.2 in fine). Die - vorliegend unsubstantiierte und unbelegte - Geltendmachung eines Suizidrisikos verpflichtet die Behörden nicht, von einer Ausschaffung abzusehen (Urteil des EGMR Al-Zawatia gegen Schweden vom 22. Juni 2010, Nr. 50068/08, § 57 f.). Die nicht begründeten Anträge auf Einholung von individuellen Garantien und auf Anweisung der Vorinstanz, im Dispositiv des Entscheids eine angemessene Ausreisefrist anzusetzen (siehe zur Ausreisefrist gestützt auf die Dublin-Assoziierungsabkommen Art. 45 Abs. 3 AsylG; ferner BVGE 2011/28 E. 6.5) inklusive Zusatz, dass sich diese verlängere, sollte eine Überstellung innert Frist nicht möglich sein, sind abzuweisen.</w:t>
      </w:r>
    </w:p>
    <w:p>
      <w:r>
        <w:rPr>
          <w:b/>
        </w:rPr>
        <w:t>E. 3</w:t>
      </w:r>
    </w:p>
    <w:p>
      <w:r>
        <w:t>Nach dem Gesagten ist die angefochtene Verfügung vom 20. Februar 2026 nicht zu beanstanden und die Beschwerde ist abzuweisen.</w:t>
      </w:r>
    </w:p>
    <w:p>
      <w:r>
        <w:rPr>
          <w:b/>
        </w:rPr>
        <w:t>E. 4</w:t>
      </w:r>
    </w:p>
    <w:p>
      <w:r>
        <w:t>Mit vorliegendem Urteil fällt der am 26. Februar 2026 angeordnete Vollzugsstopp dahin und der Antrag auf Erteilung der aufschiebenden Wirkung wird gegenstandslos.</w:t>
      </w:r>
    </w:p>
    <w:p>
      <w:r>
        <w:rPr>
          <w:b/>
        </w:rPr>
        <w:t>E. 5</w:t>
      </w:r>
    </w:p>
    <w:p>
      <w:r>
        <w:t>Die Begehren erweisen sich als aussichtslos, weshalb das Gesuch um unentgeltliche Rechtspflege (Art. 65 Abs. 1 und 2 VwVG) abzuweisen ist.</w:t>
      </w:r>
    </w:p>
    <w:p>
      <w:r>
        <w:rPr>
          <w:b/>
        </w:rPr>
        <w:t>E. 6</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