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F-142/2021 vom 18. Januar 2021</w:t>
      </w:r>
    </w:p>
    <w:p>
      <w:r>
        <w:t>Bundesverwaltungsgericht, 2021-01-18, DE</w:t>
      </w:r>
    </w:p>
    <w:p>
      <w:r>
        <w:rPr>
          <w:b/>
        </w:rPr>
        <w:t xml:space="preserve">Quelle: </w:t>
      </w:r>
      <w:r>
        <w:t>https://mcp.opencaselaw.ch/entscheid/bvger_F-142_2021</w:t>
      </w:r>
    </w:p>
    <w:p>
      <w:r>
        <w:t>FR: TAF F-142/2021 du 18 janvier 2021</w:t>
      </w:r>
    </w:p>
    <w:p>
      <w:r>
        <w:t>IT: TAF F-142/2021 del 18 gennaio 2021</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mit Ausnahme der nachfolgenden Ausführungen - einzutreten (Art. 108 Abs. 3 AsylG und Art. 52 Abs. 1 VwVG). Der Beschwerdeführer begründet sein Rechtsbegehren bezüglich der Verletzung des rechtlichen Gehörs nicht, weshalb darauf nicht einzutreten ist.</w:t>
      </w:r>
    </w:p>
    <w:p>
      <w:r>
        <w:rPr>
          <w:b/>
        </w:rPr>
        <w:t>E. 1.2</w:t>
      </w:r>
    </w:p>
    <w:p>
      <w:r>
        <w:t>Die Kognition des Bundesverwaltungsgerichts und die zulässigen Rügen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Durchführung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Staates wird eingeleitet, sobald in einem Mitgliedstaat erstmals ein Asylantrag gestellt wird (Art. 20 Abs. 1 Dublin-III-VO). Im Rahmen eines Wiederaufnahmeverfahrens (engl.: take back) findet grundsätzlich keine (erneute) Zuständigkeitsprüfung nach Kapitel III der Dublin-III-VO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keiner bestimmt werden, wird der die Zuständigkeit prüfende Mitgliedstaat zum zuständigen Mitgliedstaat (Art. 3 Abs. 2 Dublin-III-VO).</w:t>
      </w:r>
    </w:p>
    <w:p>
      <w:r>
        <w:rPr>
          <w:b/>
        </w:rPr>
        <w:t>E. 4.3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4.4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w:t>
      </w:r>
    </w:p>
    <w:p>
      <w:r>
        <w:t>Ein Abgleich der Fingerabdrücke des Beschwerdeführers mit der «Eurodac»-Datenbank ergab, dass er am 29. November 2012 in Belgien, am 12. November 2014 und 8. Juni 2015 in Deutschland sowie am 17. April 2019 in den Niederlanden ein Asylgesuch eingereicht hatte. Abklärungen mit den niederländischen Behörden ergaben, dass die Zuständigkeit für die Durchführung des Asyl- und Wegweisungsverfahrens bei Deutschland liegt. Die deutschen Behörden stimmten am 4. Januar 2021 dem Ersuchen des SEM um Übernahme des Beschwerdeführers gestützt auf Art. 18 Abs. 1 Bst. d Dublin-III-VO zu. Die grundsätzliche Zuständigkeit Deutschlands ist somit gegeben. Der beschwerdeweise geäusserte Wunsch um Übersendung nach Belgien vermag daran nichts zu ändern, zumal die Dublin-III-VO den Schutzsuchenden kein Recht einräumt, den ihren Antrag prüfenden Staat selber auszuwählen (vgl. auch BVGE 2010/45 E. 8.3).</w:t>
      </w:r>
    </w:p>
    <w:p>
      <w:r>
        <w:rPr>
          <w:b/>
        </w:rPr>
        <w:t>E. 5.1</w:t>
      </w:r>
    </w:p>
    <w:p>
      <w:r>
        <w:t>Im Lichte von Art. 3 Abs. 2 Dublin-III-VO ist zu prüfen, ob es wesentliche Gründe für die Annahme gibt, das Asylverfahren und die Aufnahmebedingungen für Asylsuchende in Deutschland würden systemische Schwachstellen aufweisen, die eine Gefahr einer unmenschlichen oder entwürdigenden Behandlung im Sinne des Artikels 4 der EU-Grundrechtecharta mit sich bringen würden. 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Dem Beschwerdeführer steht es sodann offen, sich bei Problemen mit anderen Personen an die zuständigen deutschen Behörden zu wenden. Unter diesen Umständen ist die Anwendung von Art. 3 Abs. 2 Dublin-III-VO nicht gerechtfertigt.</w:t>
      </w:r>
    </w:p>
    <w:p>
      <w:r>
        <w:rPr>
          <w:b/>
        </w:rPr>
        <w:t>E. 5.2</w:t>
      </w:r>
    </w:p>
    <w:p>
      <w:r>
        <w:t>Der Beschwerdeführer fordert implizit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 Er hat kein konkretes und ernsthaftes Risiko dargetan, die deutschen Behörden würden sich weigern, ihn wieder aufzunehmen und seinen Antrag auf internationalen Schutz unter Einhaltung der Regeln der Verfahrensrichtlinie zu prüfen. Den Akten sind denn auch keine Gründe für die Annahme zu entnehmen,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Deutschland seien derart schlecht, dass sie zu einer Verletzung von Art. 4 der EU-Grundrechtecharta, Art. 3 EMRK oder Art. 3 FoK führen könnten. Es liegen keine Hinweise dafür vor, dass die Behandlung seiner Asylgesuche mangelhaft gewesen sein könnte und seine Wegweisung in Verletzung des Non-Refoulement-Prinzips verfügt worden wäre.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dient im Gegenteil der Vermeidung von multiplen Asylgesuchen in verschiedenen Staaten (vgl. BVGE 2017 VI/5 E. 8.5.3.3). Vorliegend führt die Überstellung des Beschwerdeführers nach Deutschland gemäss Akten nicht zu einer Kettenabschiebung, welche gegen das Non-Refoulement-Prinzip verstossen würde, wie es in Art. 33 FK verankert ist (und sich ausserdem aus Art. 4 der EU-Grundrechtecharta, Art. 3 EMRK oder Art. 3 FoK ableiten lässt). Der Beschwerdeführer hat auch keine konkreten Hinweise für die Annahme dargetan, Deutschland würde ihm dauerhaft die ihm gemäss Aufnahmerichtlinie zustehenden minimalen Lebensbedingungen vorenthalten. Bei einer allfälligen vorübergehenden Einschränkung könnte er sich nötigenfalls an die deutschen Behörden wenden und die ihm zustehenden Aufnahmebedingungen auf dem Rechtsweg einfordern (vgl. Art. 26 Aufnahmerichtlinie). Betreffend den medizinischen Sachverhalt ist festzuhalten, dass die wiederkehrenden Schmerzen im Bein medizinisch abgeklärt wurden. Aus den Akten ist nicht ersichtlich, dass der Beschwerdeführer wegen der weiteren Leiden um Hilfe ersucht hat. Beschwerdeweise wird die psychische Belastung ebenfalls nicht belegt, weshalb davon auszugehen ist, dass sie nicht derart gravierend ist. Im Übrigen ist allgemein bekannt, dass Deutschland über eine ausreichende medizinische Infrastruktur verfügt. Für einen Selbsteintritt der Schweiz gemäss Art. 29a Abs. 3 AsylV1 in Verbindung mit Art. 17 Dublin-III-VO besteht demnach keine Veranlassung. Eine Ermessenunterschreitung seitens des SEM in seiner Verfügung vom 4. Januar 2021 liegt nicht vor.</w:t>
      </w:r>
    </w:p>
    <w:p>
      <w:r>
        <w:rPr>
          <w:b/>
        </w:rPr>
        <w:t>E. 5.3</w:t>
      </w:r>
    </w:p>
    <w:p>
      <w:r>
        <w:t>Allfällige Verzögerungen beim Wegweisungsvollzug aufgrund der herrschenden Situation im Zusammenhang mit der COVID-19-Pandemie stellen - gemäss aktuellem Kenntnisstand - lediglich temporäre Vollzugshindernisse dar und vermögen am Ausgang des vorliegenden Verfahrens nichts zu ändern (vgl. Urteil des BVGer F-1829/2020 vom 9. April 2020 E. 5.2).</w:t>
      </w:r>
    </w:p>
    <w:p>
      <w:r>
        <w:rPr>
          <w:b/>
        </w:rPr>
        <w:t>E. 6</w:t>
      </w:r>
    </w:p>
    <w:p>
      <w:r>
        <w:t>Die Vorinstanz ist demnach zu Recht in Anwendung von Art. 31a Abs. 1 Bst. b AsylG auf das Asylgesuch des Beschwerdeführers nicht eingetreten. Da er nicht im Besitz einer gültigen Aufenthalts- oder Niederlassungsbewilligung ist, wurde die Überstellung nach Deutschland in Anwendung von Art. 44 AsylG ebenfalls zu Recht angeordnet (Art. 32 Bst. a AsylV 1).</w:t>
      </w:r>
    </w:p>
    <w:p>
      <w:r>
        <w:rPr>
          <w:b/>
        </w:rPr>
        <w:t>E. 7</w:t>
      </w:r>
    </w:p>
    <w:p>
      <w:r>
        <w:t>Das Fehlen von Überstellungshindernissen ist bereits Voraussetzung des Nichteintretensentscheides gemäss Art. 31a Abs. 1 Bst. b AsylG, weshalb allfällige Vollzugshindernisse gemäss Art. 83 Abs. 3 und 4 AIG (SR 142.20) unter diesen Umständen nicht mehr zu prüfen sind (vgl. BVGE 2015/18 E. 5.2 m.w.H).</w:t>
      </w:r>
    </w:p>
    <w:p>
      <w:r>
        <w:rPr>
          <w:b/>
        </w:rPr>
        <w:t>E. 8</w:t>
      </w:r>
    </w:p>
    <w:p>
      <w:r>
        <w:t>Nach dem Gesagten ist die Beschwerde abzuweisen, soweit darauf einzutreten ist, und die Verfügung der Vorinstanz zu bestätigen. Das Beschwerdeverfahren ist mit vorliegendem Urteil abgeschlossen, weshalb sich die Anträge auf Gewährung der aufschiebenden Wirkung sowie auf Verzicht auf die Erhebung eines Kostenvorschusses als gegenstandslos erweisen.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Prozessführung (vgl. Art. 65 Abs. 1 VwVG) ist unbesehen der finanziellen Verhältnisse des Beschwerdeführers abzuweisen, da die Beschwerde gemäss den vorstehenden Erwägungen als aussichtslos zu bezeichnen ist, und es daher an einer gesetzlichen Grundlage zu deren Gewährung fehlt.</w:t>
      </w:r>
    </w:p>
    <w:p>
      <w:r>
        <w:rPr>
          <w:b/>
        </w:rPr>
        <w:t>E. 10</w:t>
      </w:r>
    </w:p>
    <w:p>
      <w:r>
        <w:t>Mit dem vorliegenden Urteil fällt der am 13. Januar 2021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