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F-142/2016 vom 29. August 2016</w:t>
      </w:r>
    </w:p>
    <w:p>
      <w:r>
        <w:t>Bundesverwaltungsgericht, 2016-08-29, FR</w:t>
      </w:r>
    </w:p>
    <w:p>
      <w:r>
        <w:rPr>
          <w:b/>
        </w:rPr>
        <w:t xml:space="preserve">Quelle: </w:t>
      </w:r>
      <w:r>
        <w:t>https://mcp.opencaselaw.ch/entscheid/bvger_F-142_2016</w:t>
      </w:r>
    </w:p>
    <w:p>
      <w:r>
        <w:t>FR: TAF F-142/2016 du 29 août 2016</w:t>
      </w:r>
    </w:p>
    <w:p>
      <w:r>
        <w:t>IT: TAF F-142/2016 del 29 agosto 2016</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X._______, qui a pris part à la procédure devant l'autorité inférieure, a qualité pour recourir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et al., Prozessieren vor dem Bundesverwaltungsgericht, Handbücher für die Anwaltspraxis, tome X, 2ème éd. 2013, pp. 226-227, ad ch. 3.197; Moor/Poltier, Droit administratif, vol. II, 2011, pp. 300-301 ch. 2.2.6.5). Aussi peut-elle admettre ou rejeter le pourvoi pour d'autres motifs que ceux invoqués (cf. notamment ATAF 2007/41 consid. 2, et réf. citées). Dans son arrêt, elle prend en considération l'état de fait tel qu'il se présente au moment où elle statue (cf. ATAF 2014/1 consid. 2, et jurisprudence citée).</w:t>
      </w:r>
    </w:p>
    <w:p>
      <w:r>
        <w:rPr>
          <w:b/>
        </w:rPr>
        <w:t>E. 3</w:t>
      </w:r>
    </w:p>
    <w:p>
      <w:r>
        <w:t>La politique des autorités suisses en matière de visa joue un rôle très important dans la prévention de l'immigration clandestine (cf. à ce sujet le Message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notamment ATF 135 I 143 consid. 2.2 ; voir également arrêt du TAF C-1392/2012 du 16 avril 2014 consid. 4,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p. 3531 , ch. 2.2; voir également: ATF 135 II 1 consid. 1.1; ATAF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(à la) requérant(e). Il reste que, dans le cadre de cet examen, dite autorité dispose d'un large pouvoir d'appréciation. Ainsi que le TAF l'a souligné dans sa jurisprudence, la réglementation Schengen ne confère, pas plus que la législation suisse, de droit à l'entrée dans l'Espace Schengen, ni de droit à l'octroi d'un visa (cf. ATAF 2014/1consid. 4.1.1 et 4.1.5; 2011/48 consid. 4.1).</w:t>
      </w:r>
    </w:p>
    <w:p>
      <w:r>
        <w:rPr>
          <w:b/>
        </w:rPr>
        <w:t>E. 4</w:t>
      </w:r>
    </w:p>
    <w:p>
      <w:r>
        <w:t>L'ordonnance du 22 octobre 2008 sur l'entrée et l'octroi de visas (OEV, RS 142.204) a été modifiée le 4 mai 2016, en relation avec l'entrée en vigueur du Règlement (UE) 2016/399 du Parlement européen et du Conseil du 9 mars 2016 établissant un code communautaire relatif au régime de franchissement des frontières par les personnes (code frontières Schengen, version codifiée [JO L 77 du 23 mars 2016 p. 1]). L'OEV ne contenant pas de dispositions transitoires, il convient de se référer aux règles générales régissant la détermination du droit applicable, qui sont valables en l'absence de dispositions transitoires particulières. Dans ce contexte, il s'impose de rappeler que, s'agissant d'un état de choses durable qui se prolonge après la modification de l'ordre juridique, il est communé­ment admis que le nouveau droit est en règle générale applicable (rétroactivité impropre), sauf régle­mentation transitoire contraire (cf. arrêt du Tribunal administratif fédéral C-804/2010 du 1er septembre 2010 5.1 Les dispositions sur la procédure en matière de visa ainsi que sur l'entrée en Suisse et la sortie de ce pays ne s'appliquent que dans la mesure où les accords d'association à Schengen, qui sont mentionnés à l'annexe 1, ch. 1 LEtr (RS 142.20), ne contiennent pas de dispositions divergentes (cf. art. 2 al. 4 et 5 LEtr). S'agissant des conditions d'entrée en Suisse pour un séjour n'excédant pas 90 jours, l'art. 2 al. 1 OEV, dans sa teneur du 4 mai 2016, entrée en vigueur le 16 mai 2016, renvoie à l'art. 6 du Règlement (UE) 2016/399 du Parlement européen et du Conseil du 9 mars 2016 établissant un code communautaire relatif au régime de franchissement des frontières par les personnes (code frontières Schengen). Les conditions d'entrée ainsi prévues correspondent, pour l'essentiel, à celles posées par l'art. 5 LEtr. 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 al. 2 LEtr, peuvent-elles être reprises in casu (sur les détails de cette problématique, cf. ATAF 2009/27 consid. 5.2 et 5.3). 5.2 Si les conditions pour l'octroi d'un visa uniforme pour l'Espace Schengen ne sont pas remplies, un Etat membre peut, à titre exceptionnel, délivrer un visa à validité territoriale limitée (ci-après: un visa VTL) notamment pour des motifs humanitaires ou d'intérêt national ou en raison d'obligations internationales (cf. art. 12 al. 1 en relation avec l'art. 2 al. 4 OEV, art. 32 par. 1 en relation avec l'art. 25 par. 1 let. a et par. 2 du code des visas et art. 6 par. 5 let. c du code frontières Schengen). 5.3 Le Règlement (CE) no 539/2001 du Conseil du 15 mars 2001 (JO L 81 du 21 mars 2001, p.1-7) différencie, en son art. 1 par. 1 et 2, les ressortissants des Etats tiers selon qu'ils sont soumis ou non à l'obligation du visa. Du fait de sa nationalité sri lankaise, Y._______ est soumis à l'obligation du visa. 6.1 Dans la décision querellée, l'autorité inférieure a con­­firmé le refus d'au­torisation d'entrée dans l'Espace Schengen pronon­cé par l'Ambassade de Suisse à Colombo à l'encontre du prénommé au motif que le départ ponctuel de celui-ci de l'Espace Schengen à l'échéance du visa sollicité n'apparaissait pas suffisamment assuré. 6.2 C'est le lieu de rappeler que,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la personne concernée (cf. ATAF 2014/1 consid. 6.1 à 6.3). Selon la jurisprudence, un visa peut seulement être octroyé s'il n'exis­te aucun doute fondé quant au retour de l'étranger dans sa patrie dans les délais impartis (cf. ATAF 2014/1 consid. 4.4).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ou discriminatoire lorsque dite autorité se fonde sur de tels indices et sur l'évaluation susmentionnée pour appliquer la disposition précitée (cf. ATAF 2014/1 consid. 7.2). Ces éléments d'appréciation doivent en outre être examinés dans le contexte de la situation générale prévalant dans le pays de provenance de l'intéressé, dans la mesure où il ne peut être exclu qu'une situation moins favorisée aux plans socio-économique ou politique que celle que connaît la Suisse puisse influencer le comportement de la personne invitée.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consid. 6.1). 6.3 A ce propos, il convient de prendre en considération la situation prévalant au Sri Lanka, pays qui a connu, depuis les années 1960, des tensions croissantes entre ses deux principales communau­tés (les Cinghalais, de religion principalement bouddhiste, et les Tamouls, de confession majoritairement hindouiste), tensions qui se sont transformées au début des années 1980 en un conflit armé opposant le gouvernement sri lankais aux Tigres de Libération de l'Eelam Tamoul (LTTE), un mou­ve­ment sécessionniste revendiquant les régions du Nord et de l'Est de l'île à majorité tamoule. Depuis la fin de la guerre civile en mai 2009 et, en particulier, depuis la levée de l'état d'urgence en août 2011, la situation sécuritaire s'est détendue dans ce pays. Il n'en demeure pas moins que des tensions subsistent sur les plans ethnique et religieux, en particulier dans les anciennes zones de conflit situées au Nord et à l'Est du pays (com­prenant le district de Jaffna, capitale de la province du Nord), tensions liées notamment au fait qu'une forte présence de l'armée sri lankaise (à majorité cinghalaise) a été maintenue dans ces régions et que le processus visant à rétrocéder les terres confisquées par l'armée à la communauté tamoule (notamment) res­te difficile à mettre en place (cf. parmi d'autres, l'article "Au Sri Lanka, des vies sus­pendues", paru le 26 août 2015 sur le site du journal Le Temps: www.letemps.ch, et l'article "Au Sri Lanka, l'armée résiste à la transition", paru le 28 mai 2015 sur le site du quotidien Le Monde: www.lemonde.fr). Malgré les espoirs suscités par l'élection d'un nouveau président au mois de janvier 2015 et le vaste pro­ces­sus de réformes et de réconciliation lancé par le nouveau gou­verne­ment, il reste encore d'importants défis à relever, ce qui prendra du temps (cf. notamment le rapport "Principaux axes de l'en­­gagement de la Suisse au Sri Lanka [état février 2016]", publié sur le si­te du Département fédéral des affaires étran­gères: www.dfae.admin.ch &gt; Repré­sentations et conseils aux voya­geurs &gt; Sri Lanka &gt; Développement et coopération &gt; Coopération in­terna­tionale &gt; Stratégie). Certes, depuis la fin des hostilités, le Sri Lanka a connu une forte crois­san­ce économique (cf. Ministère français des affaires étrangères, Fran­ce-Diplomatie, en ligne sur son site: www.diplomatie.gouv.fr &gt; Dossiers pays &gt; Sri Lanka &gt; Pré­sentation du Sri Lanka &gt; situation économique, dernière mi­se à jour: 17 mai 2016). Il n'en demeure pas moins que ce pays, avec un produit intérieur brut (PIB) par habitant en 2015 de 3920 USD (ce qui correspond actuellement [état au 12 juillet 2016] à environ 3845 CHF), se situe très en deçà des standards europé­ens (cf. Office allemand des affaires étrangères, en ligne sur son site: www. auswaertiges-amt.de &gt; Aussen- und Europapolitik &gt; Länder­informationen &gt; Sri Lan­ka &gt; Wirtschaft &gt; Wirtschaftsdaten, dernière mi­se à jour: février 2016). A cela s'ajoute que la majeure partie des activités économiques au Sri Lanka se concentre dans la capitale (Colom­bo) et sa région, et que les revenus sont répartis de manière très inégale dans ce pays, avec de fortes différen­ces suivant les catégories de la population (citadines ou rurales) et les régions. Ainsi, dans les anciennes zones de conflit situées au Nord et à l'Est du pays - qui n'ont pas connu un développement économique comparable à celui de la région de Colombo - de nombreuses personnes vivent au-des­­sous du seuil de pauvreté (cf. Ministère allemand de la coopération économique et du développement, en ligne sur son site: www.bmz.de &gt; Länder &gt; Asien &gt; Sri Lan­ka &gt; Zusammenarbeit &gt; Situation und Zusam­men­ar­beit &gt; Armut). On relèvera enfin que, sur le plan de l'indice de développement hu­main (IDH), qui prend en compte la santé, l'éducation et le revenu de la population, le Sri Lanka a été classé en 2015 au 73ème rang sur 188 pays (cf. Programme des Nations Unies pour le dévelop­pement, en ligne sur son site: www.hdr.undp.org &gt; Rapport &gt; Rapport sur le développement humain [RDH] 2015). Or, une telle discrépance n'est pas sans exercer une forte pression migratoire. Ainsi que l'expérience l'a montré, la tendance migratoire est en effet renforcée lorsque la personne concernée peut s'appuyer à l'étranger sur un réseau familial ou social préexistant (cf. ATAF 2014/1 consid. 6.2.2, 2009/27 consid. 7). 6.4 Aussi, compte tenu de la situation générale prévalant au Sri Lanka et des nom­breux avantages qu'offrent les pays membres de l'Espace Schengen (notamment en termes de qualité de vie, de niveau salarial, de sécurité, d'infrastructures socio-médicales, etc.), le Tribunal de céans ne saurait de prime abord écarter les craintes émises par l'autorité inférieure quant à une éventuelle prolongation du séjour de Y._______ dans l'Espace Schengen au-delà de la durée de validité de son visa (dans le même sens, cf. les arrêts du TAF C 6239/2015 du 4 mars 2016 consid. 7.2 et C 5263/2015 du 10 décembre 2015 consid. 5.2). 6.5 Cela étant, l'autorité ne saurait se fonder sur la seule situation prévalant dans le pays de provenance de l'étranger pour conclure à l'absence de garantie quant à sa sortie ponctuelle de l'Espace Schengen, mais doit également prendre en considération les particularités du cas d'espèce. Ainsi, si la personne invitée assume d'importan­tes responsabilités dans sa patrie (au plan profes­sionnel, familial et/ou social), un pronostic favorable pourra - suivant les circonstances - être émis quant à son départ ponctuel à l'échéance du visa. En revanche, le risque d'une éven­tuelle transgression future des prescriptions de police des étrangers pourra être jugé élevé lorsque la personne concernée n'a pas d'obligations suffisantes dans son pays d'origine pour l'inciter à y retourner au terme de son séjour (cf. ATAF 2014/1 consid. 6.3.1, 2009/27 consid. 8).</w:t>
      </w:r>
    </w:p>
    <w:p>
      <w:r>
        <w:rPr>
          <w:b/>
        </w:rPr>
        <w:t>E. 7</w:t>
      </w:r>
    </w:p>
    <w:p>
      <w:r>
        <w:t>Il convient dès lors d'examiner si la situation personnelle, familiale, sociale et professionnelle (respectivement financière) du prénommé plaident en faveur de sa sortie ponctuelle de l'Espace Schengen au terme du séjour envisagé.</w:t>
      </w:r>
    </w:p>
    <w:p>
      <w:r>
        <w:rPr>
          <w:b/>
        </w:rPr>
        <w:t>E. 7.1</w:t>
      </w:r>
    </w:p>
    <w:p>
      <w:r>
        <w:t>S'agissant des attaches familiales, le Tribunal constate que Y._______, âgé de quarante-cinq ans, a contracté mariage le 17 juin 2000 à U._______ (Sri Lanka) avec une compatriote avec laquelle il vit (cf. extrait du registre du mariage de 14 mai 2015). Par ailleurs, il est aussi père de deux enfants, nés en 2002 et 2009 (cf. extraits de naissance produits). Force est donc de constater que le prénommé bénéficie d'un réseau social important dans sa patrie.</w:t>
      </w:r>
    </w:p>
    <w:p>
      <w:r>
        <w:rPr>
          <w:b/>
        </w:rPr>
        <w:t>E. 7.2</w:t>
      </w:r>
    </w:p>
    <w:p>
      <w:r>
        <w:t>Sur le plan professionnel, il ressort des pièces du dossier que Y._______ est copropriétaire avec deux autres personnes d'une entreprise de constructions inscrite au registre du commerce sri lankais depuis le 20 décembre 2003 et perçoit un salaire mensuel d'environ 850 franc (cf. questionnaire additionnel rempli le 22 juillet 2015 et bilan de l'entreprise de construction établi le 15 juillet 2015). Un tel salaire mensuel constitue un revenu largement supérieur à la moyenne ayant cours au Sri Lanka, soit 352,62 USD (chiffre pour 2014 ; source: http://www.nationmaster.com/country-info/profiles/Sri-Lanka/Cost-of-living). Même si le SEM a émis quelques réserves quant à la provenance des fonds figurant sur le compte bancaire de l'invité (cf. préavis du 19 mai 2016), il n'a pas remis en question leur existence. Au vu de ce qui précède, force est de reconnaître que le prénommé dispose donc d'une bonne situation professionnelle dans sa patrie.</w:t>
      </w:r>
    </w:p>
    <w:p>
      <w:r>
        <w:rPr>
          <w:b/>
        </w:rPr>
        <w:t>E. 7.3</w:t>
      </w:r>
    </w:p>
    <w:p>
      <w:r>
        <w:t>Au vu de ces éléments, il convient d'admettre que le risque que Y._______ - qui a manifestement ses principales attaches au Sri Lanka - choisisse, à 45 ans, de s'exiler dans un environnement qui lui serait totalement étranger et où il devrait vraisemblablement exercer un emploi sans en retirer les avantages qu'il connaît dans son pays paraît plus théorique que pratique. Il n'y a ainsi aucun motif de mettre en doute l'affirmation du recourant selon laquelle son invité, dont l'épouse et les enfants demeureraient au Sri Lanka, souhaite se rendre en Hollande uniquement pour un motif de visite amicale (cf. opposition du 8 août 2015 et recours du 12 décembre 2015). Dans ce contexte, il s'impose de constater que le prénommé a déjà rendu visite à son hôte en Hollande en 2014 au bénéfice d'un visa Schengen délivré par l'Ambassade des Pays-Bas et qu'à cette occasion, il a respecté son obligation de quitter la Hollande dans la durée de validité du visa, même s'il a dépassé de trois jours le nombre de jours autorisés (30 jours) par le visa octroyé à l'époque. Cependant, l'intéressé n'a fait l'objet d'aucune mesure particulière de la part des autorités compétentes pour ce dépassement du nombre de jours accordé par le visa, ni lors de sa sortie contrôlée à l'aéroport d'Amsterdam Schiphol, ni lors de sa présentation à l'Ambassade de Hollande précitée le 26 août 2016 pour confirmer son retour au Sri Lanka (cf. timbres humides et annotation figurant dans la copie du passeport).</w:t>
      </w:r>
    </w:p>
    <w:p>
      <w:r>
        <w:rPr>
          <w:b/>
        </w:rPr>
        <w:t>E. 7.4</w:t>
      </w:r>
    </w:p>
    <w:p>
      <w:r>
        <w:t>Le Tribunal relève enfin que la durée du séjour projeté (quarante jours) et les motifs de la demande de visa (d'ordre uniquement amical) paraissent en adéquation avec la situation personnelle et familiale du requérant. Quant à la couverture des frais de séjour en Suisse, elle paraît assurée au vu des garanties financières offertes par le recourant.</w:t>
      </w:r>
    </w:p>
    <w:p>
      <w:r>
        <w:rPr>
          <w:b/>
        </w:rPr>
        <w:t>E. 7.5</w:t>
      </w:r>
    </w:p>
    <w:p>
      <w:r>
        <w:t>Cela étant, prenant acte des assurances données par les intéressés, le Tribunal ne décèle aucun indice permettant de mettre en doute la bonne foi de l'invité et la volonté de son hôte de respecter les termes du visa sollicité. Les craintes émises par l'autorité intimée ne sauraient dès lors être partagées. C'est le lieu de rappeler que le non-respect des termes et conditions d'octroi d'un visa est susceptible d'entraîner des conséquences négatives en cas de dépôt - par la personne invitée ou par les personnes invitantes - d'une nouvelle demande d'autorisation d'entrée. Par ailleurs, il apparaît que les autres conditions (cumulatives) de l'art. 5 LEtr sont remplies, voire qu'aucun motif de refus au sens de l'art. 12 al. 2 OEV n'est réalisé.</w:t>
      </w:r>
    </w:p>
    <w:p>
      <w:r>
        <w:rPr>
          <w:b/>
        </w:rPr>
        <w:t>E. 7.6</w:t>
      </w:r>
    </w:p>
    <w:p>
      <w:r>
        <w:t>En conséquence, eu égard aux liens familiaux, sociaux et professionnels qui lient le requérant à son pays ainsi qu'à la situation matérielle qui est la sienne, le Tribunal est amené à considérer que son retour au Sri Lanka à l'échéance du visa requis peut être tenu, avec un haut degré de probabilité, pour garanti, conformément aux exigences posées par l'art. 5 al. 2 LEtr. Tout bien considéré, le Tribunal estime qu'il serait inopportun de refuser à l'intéressé l'autorisation d'entrée sollicitée, ce d'autant plus que la situation de l'intéressé, tant sur les plans familial, personnel et professionnel n'a pas changé depuis l'octroi de son précédent visa en 2014 par les autorités hollandaises compétentes. Dès lors, l'intérêt privé de ce dernier à pouvoir rendre visite à son ami, durant quarante jours, prévaut sur l'intérêt public contraire à refuser le visa sollicité au vu des garanties apportées quant à une sortie de l'Espace Schengen dans le délai fixé.</w:t>
      </w:r>
    </w:p>
    <w:p>
      <w:r>
        <w:rPr>
          <w:b/>
        </w:rPr>
        <w:t>E. 8</w:t>
      </w:r>
    </w:p>
    <w:p>
      <w:r>
        <w:t>Le recours est en conséquence admis, la décision attaquée annulée et la cause renvoyée pour nouvel examen à l'autorité de première instance, lequel devra déterminer si l'intéressé remplit les conditions d'entrée posées par le code frontières Schengen ou s'il convient de lui octroyer un visa à validité territoriale limitée en application de l'art. 2 al. 4 OEV. Obtenant gain de cause, le recourant n'a pas à supporter de frais de procédure (cf. art. 63 al. 1 a contrario et al. 3 PA). Bien qu'elle succombe, l'autorité inférieure n'a pas à supporter de frais de procédure (art. 63 al. 2 PA). Quant à la question de l'octroi de dépens, elle ne se pose pas dans la présente procédure, attendu que le recourant a agi sans l'assistance d'un mandataire professionnel (cf. notamment ATF 134 I 184 consid. 6.3 et 133 III 439 consid. 4) et que l'on ne saurait considérer comme élevés les frais éventuels que l'intéressé a eu à supporter (art. 7 al. 4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