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F-1429/2016 vom 15. November 2016</w:t>
      </w:r>
    </w:p>
    <w:p>
      <w:r>
        <w:t>Bundesverwaltungsgericht, 2016-11-15, FR</w:t>
      </w:r>
    </w:p>
    <w:p>
      <w:r>
        <w:rPr>
          <w:b/>
        </w:rPr>
        <w:t xml:space="preserve">Quelle: </w:t>
      </w:r>
      <w:r>
        <w:t>https://mcp.opencaselaw.ch/entscheid/bvger_F-1429_2016</w:t>
      </w:r>
    </w:p>
    <w:p>
      <w:r>
        <w:t>FR: TAF F-1429/2016 du 15 novembre 2016</w:t>
      </w:r>
    </w:p>
    <w:p>
      <w:r>
        <w:t>IT: TAF F-1429/2016 del 15 novembre 2016</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LTF [RS 173.110]).</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52 PA).</w:t>
      </w:r>
    </w:p>
    <w:p>
      <w:r>
        <w:rPr>
          <w:b/>
        </w:rPr>
        <w:t>E. 1.4</w:t>
      </w:r>
    </w:p>
    <w:p>
      <w:r>
        <w:t>Il s'impose de relever d'emblée que le Tribunal peut examiner uniquement les rapports de droit sur lesquels l'autorité administrative compétente s'est prononcée sous la forme d'une décision, laquelle détermine l'objet de la contestation (cf. ATF 136 II 165 consid. 5, 134 V 418 consid. 5.2.1 p. 426 et références citées; ATAF 2010/5 consid. 2 p. 58 et doctrine et jurisprudence citée). Le seul objet du litige est ici la question de l'interdiction d'entrée prononcée le 5 décembre 2014 par le SEM à l'endroit de A._______, fondée sur le rapport de dénonciation du 6 novembre 2014 de l'administration fédérale des douanes indiquant que lors de la sortie de Suisse du prénommé le 5 novembre 2014, il a été constaté que ce dernier, entré en ce pays le 25 mai 2014, avait dépassé la durée du séjour autorisé dans l'Espace Schengen de 75 jours. Ainsi le SEM a retenu comme motifs de sa mesure d'éloignement : « Lors du contrôle du départ, il a été constaté que l'intéressé avait séjourné illégalement dans l'Espace Schengen, en Suisse en particulier, durant près de 75 jours après l'expiration de la durée du séjour non soumis à autorisation ». C'est ainsi cette seule question d'un séjour dépassé dans l'Espace Schengen durant 75 jours, au cours de la période allant du 25 mai 2014 au 5 novembre 2014, qui sera examiné par le Tribunal. Le séjour antérieur de A._______ dans l'Espace Schengen, comme l'exercice d'une éventuelle activité lucrative en Suisse, extérieurs à l'objet du litige, n'ont pas à être discutés par le Tribunal.</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 et jurisprudence citée).</w:t>
      </w:r>
    </w:p>
    <w:p>
      <w:r>
        <w:rPr>
          <w:b/>
        </w:rPr>
        <w:t>E. 3</w:t>
      </w:r>
    </w:p>
    <w:p>
      <w:r>
        <w:t>Le recourant se plaint en premier lieu d'une violation du droit d'être entendu dans la mesure où il indique avoir été privé de la possibilité de communiquer ses observations avant le prononcé de la décision. Il relève d'abord que, pressé de prendre son vol, il n'a pas disposé de suffisamment de temps pour se déterminer correctement lors de son interpellation du 5 novembre 2014. Il mentionne ensuite que dans la mesure où il disposait d'une adresse en Suisse au sein de la société B._______, le SEM aurait dû lui donner l'occasion de se déterminer avant le prononcé de la mesure d'éloignement à son endroit par le biais de cette adresse (cf. recours p. 7).</w:t>
      </w:r>
    </w:p>
    <w:p>
      <w:r>
        <w:rPr>
          <w:b/>
        </w:rPr>
        <w:t>E. 3.1</w:t>
      </w:r>
    </w:p>
    <w:p>
      <w:r>
        <w:t>La jurisprudence du Tribunal fédéral a déduit du droit d'être entendu, garanti par l'art. 29 al. 2 de la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Le droit d'être entendu est consacré, en procédure administrative fédérale, notamment par les art. 29 à 33 (droit d'être entendu stricto sensu) et l'art. 35 PA (droit d'obtenir une décision motivée).</w:t>
      </w:r>
    </w:p>
    <w:p>
      <w:r>
        <w:rPr>
          <w:b/>
        </w:rPr>
        <w:t>E. 3.2</w:t>
      </w:r>
    </w:p>
    <w:p>
      <w:r>
        <w:t>S'agissant du droit d'être entendu stricto sensu, l'art. 30 al. 1 PA prévoit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w:t>
      </w:r>
    </w:p>
    <w:p>
      <w:r>
        <w:rPr>
          <w:b/>
        </w:rPr>
        <w:t>E. 3.3</w:t>
      </w:r>
    </w:p>
    <w:p>
      <w:r>
        <w:t>En l'espèce, force est de constater que l'administration n'a pas violé cette garantie constitutionnelle. Il ressort en effet du dossier que le 5 novembre 2014, date de son appréhension par les gardes-frontière à l'aéroport de Genève, A._______ s'est vu octroyer la possibilité de s'exprimer au sujet du prononcé éventuel d'une interdiction d'entrée, possibilité qu'il a parfaitement su saisir. Un formulaire intitulé « Droit d'être entendu en cas de mesures d'éloignement » lui a été remis, aux termes duquel à la rubrique 5 « Mesure d'éloignement » il a été expressément rendu attentif à l'éventualité du prononcé d'une interdiction à son encontre, au sujet duquel il pouvait s'exprimer à la rubrique 6 intitulée « Déclaration ». A._______ y a alors indiqué : "Je déclare m'être rendu au bureau de l'habitant à X._______ accompagné par le président de B._______ qui a déclaré vouloir réactiver ma demande". Dès lors, on ne saurait déceler dans les faits précités une violation du droit d'être entendu, puisque le recourant a eu l'occasion de se déterminer avant que la décision en cause ne soit rendue, ce qui est conforme à la jurisprudence y relative (cf. consid. 3.2 supra et, parmi d'autres, les arrêts du TAF C-5366/2015 du 21 janvier 2016 consid. 3.3, C-4489/2013 du 23 janvier 2014 consid. 3.3 et réf. citées). Le SEM a prononcé une interdiction d'entrée à l'endroit de A._______, le 5 décembre 2014, soit dans le mois qui a suivi l'exercice du droit d'être entendu du prénommé, de sorte que l'on ne saurait faire reproche au SEM de n'avoir pas invité une nouvelle fois l'intéressé à se prononcer sur cette mesure avant sa notification, intervenue début 2016 seulement. Au demeurant, le fait que, lors de l'interpellation du 5 novembre 2014, l'intéressé n'aurait, selon ses dires, pas disposé de suffisamment de temps pour se déterminer, ne lui a pas porté préjudice, puisqu'il a pu introduire un recours circonstancié contre la décision querellée (cf. dans ce sens arrêt du TAF C-5366/2015 précité, ibid.). Ainsi, aucune violation du droit d'être entendu ni aucun autre vice d'ordre formel ne saurait être constaté en l'espèce.</w:t>
      </w:r>
    </w:p>
    <w:p>
      <w:r>
        <w:rPr>
          <w:b/>
        </w:rPr>
        <w:t>E. 4</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établissant un code communautaire relatif au régime de franchissement des frontières par les personnes ([code frontières Schengen], version codifiée,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Le règlement (UE) n° 610/2013 précité a encore inséré un paragraphe 1bis à l'art. 5 du règlement (CE) n° 562/2006, dont la teneur est la suivante: Pour l'application du paragraphe 1, la date d'entrée est considérée comme le premier jour de séjour sur le territoire des Etats membres et la date de sortie est considérée comme le dernier jour de séjour sur le territoire des Etats membres. Les périodes de séjour autorisées au titre d'un titre de séjour ou d'un visa de long séjour ne sont pas prises en considération pour le calcul de la durée du séjour sur le territoire des Etats membres.</w:t>
      </w:r>
    </w:p>
    <w:p>
      <w:r>
        <w:rPr>
          <w:b/>
        </w:rPr>
        <w:t>E. 4.1</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 Aux termes de l'art. 11 LEtr,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w:t>
      </w:r>
    </w:p>
    <w:p>
      <w:r>
        <w:rPr>
          <w:b/>
        </w:rPr>
        <w:t>E. 5.2</w:t>
      </w:r>
    </w:p>
    <w:p>
      <w:r>
        <w:t>Conformément à l'art. 67 al. 1 LEtr, le SEM interdit l'entrée en Suisse, sous réserve de l'al. 5, à un étranger frappé d'une décision de renvoi, lorsque le renvoi est immédiatement exécutoire en vertu de l'art. 64d, al. 2, let. a à c LEtr (let. a), ou lorsque l'étranger n'a pas quitté la Suisse dans le délai imparti (let. b).</w:t>
      </w:r>
    </w:p>
    <w:p>
      <w:r>
        <w:rPr>
          <w:b/>
        </w:rPr>
        <w:t>E. 5.3</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5.4</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de la Convention d'application de l'accord de Schengen [CAAS, JO L 239 du 22 septembre 2000 pp. 19 à 62]; cf. également l'art. 14 par. 1, en relation avec l'art. 6 par. 5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C-6801/2010 du 1er avril 2011 consid. 4 et C-1667/2010 du 21 mars 2011 consid. 3.3).</w:t>
      </w:r>
    </w:p>
    <w:p>
      <w:r>
        <w:rPr>
          <w:b/>
        </w:rPr>
        <w:t>E. 5.5.1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w:t>
      </w:r>
    </w:p>
    <w:p>
      <w:r>
        <w:rPr>
          <w:b/>
        </w:rPr>
        <w:t>E. 5.5.2</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5.5.3</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arrêts du TAF C-5001/2014 du 30 juin 2015 consid. 4.3.3, C-847/2013 du 21 mars 2014 consid. 5.3.3, avec jurispr. cit.).</w:t>
      </w:r>
    </w:p>
    <w:p>
      <w:r>
        <w:rPr>
          <w:b/>
        </w:rPr>
        <w:t>E. 5.5.4</w:t>
      </w:r>
    </w:p>
    <w:p>
      <w:r>
        <w:t>Dans cette hypothèse,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w:t>
      </w:r>
    </w:p>
    <w:p>
      <w:r>
        <w:rPr>
          <w:b/>
        </w:rPr>
        <w:t>E. 6.1</w:t>
      </w:r>
    </w:p>
    <w:p>
      <w:r>
        <w:t>En l'occurrence, le 5 décembre 2014, l'autorité intimée a prononcé à l'endroit de A._______ une décision d'interdiction d'entrée en Suisse d'une durée de 2 ans, dont les effets s'étendent donc jusqu'au 4 décembre 2016, estimant que le recourant avait porté atteinte à la sécurité et l'ordre publics en raison de son séjour illégal dans l'Espace Schengen.</w:t>
      </w:r>
    </w:p>
    <w:p>
      <w:r>
        <w:rPr>
          <w:b/>
        </w:rPr>
        <w:t>E. 6.2</w:t>
      </w:r>
    </w:p>
    <w:p>
      <w:r>
        <w:t>Conformément à l'art. 1, par. 2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les ressortissants canadiens sont exemptés de l'obligation de visa pour entrer sur le territoire des États membres pour des séjours ne dépassant pas trois mois par période de six mois. Ces derniers peuvent donc séjourner dans l'Espace Schengen sans être soumis à l'obligation de visa pendant une durée maximale de trois mois au cours d'une période de six mois à compter de la date de leur première entrée. Il convient par ailleurs de relever que les autorités suisses ne sauraient faire abstraction d'un séjour irrégulier sur le territoire d'un autre Etat membre de l'Espace Schengen lorsqu'elles envisagent de prononcer des mesures d'éloignement dont les effets s'étendent à tout l'Espace Schengen (sur la question de la prise en considération, dans le prononcé d'une mesure d'interdiction d'entrée en Suisse, d'un séjour illégal dans l'Espace Schengen, cf. Marc Spescha/Antonia Kerland/Peter Bolzli, Handbuch zum Migrationsrecht, 2. Auflage, Zürich 2015, p. 233, et les arrêts du TAF C-1385/2012 du 14 septembre 2012 consid. 7.3, C-2771/2010 du 3 février 2012 consid. 5).</w:t>
      </w:r>
    </w:p>
    <w:p>
      <w:r>
        <w:rPr>
          <w:b/>
        </w:rPr>
        <w:t>E. 6.3</w:t>
      </w:r>
    </w:p>
    <w:p>
      <w:r>
        <w:t>Le Tribunal constate, au vu des pièces du dossier, que A._______ est entré en Suisse (soit également dans l'Espace Schengen) par l'aéroport de Genève le 25 mai 2014 et en est ressorti par le même aéroport le 5 novembre 2014, soit bien au-delà de la période de 90 jours durant laquelle il était dispensé d'autorisation selon le règlement (CE) n° 539/2001 (cf. consid. 6.2). Dans son recours, l'intéressé a allégué que durant cette période il aurait voyagé notamment à Londres, Paris et Milan (cf. recours p. 3). Dans les observations du 11 juillet 2016, il affirme encore avoir séjourné entre le Canada et le Maroc lors des périodes de séjour non autorisé dans l'Espace Schengen et qu'en tant que ressortissant canadien, il n'est pas soumis à l'obligation de visa pour un séjour de 90 jours en Europe et n'a pas à faire timbrer son passeport. Enfin, il mentionne que la décision de refus d'autorisation de séjour et de renvoi ne lui aurait jamais été notifiée.</w:t>
      </w:r>
    </w:p>
    <w:p>
      <w:r>
        <w:rPr>
          <w:b/>
        </w:rPr>
        <w:t>E. 6.3.1</w:t>
      </w:r>
    </w:p>
    <w:p>
      <w:r>
        <w:t>Sur ce dernier point, il ressort du dossier que la décision du SPOP du 30 avril 2012 de refus d'octroi d'autorisation de séjour en faveur de A._______ et de renvoi de Suisse a bien été notifiée le 15 mai 2012 à C._______, administrateur de la société B._______ à X._______ qui souhaitait engager le prénommé (procès-verbal de notification du 15 mai 2012 de la décision du SPOP du 30 avril 2012, dossier cantonal vaudois).</w:t>
      </w:r>
    </w:p>
    <w:p>
      <w:r>
        <w:rPr>
          <w:b/>
        </w:rPr>
        <w:t>E. 6.3.2</w:t>
      </w:r>
    </w:p>
    <w:p>
      <w:r>
        <w:t>Par ailleurs, selon l'art. 9 al. 1 OASA, les étrangers sans activité lucrative en Suisse ne doivent pas être munis d'une autorisation ni déclarer leur arrivée si leur séjour n'excède pas trois mois sur une période de six mois à partir de leur entrée en Suisse ou dans l'Espace Schengen (séjour non soumis à autorisation). La personne concernée doit fournir, si nécessaire, des documents pertinents pour attester la date d'entrée (cf. consid. 4.2 di-dessus). A._______, qui affirme avoir respecté la durée de 90 jours de séjours autorisés, doit être en mesure de rapporter la preuve de ses allégations. Les timbres d'entrée et de sortie de l'Espace Schengen figurant dans le passeport sont précisément un moyen simple et fiable de rapporter cette preuve ; un tel moyen n'apparaît cependant pas au dossier en relation avec un séjour à Londres, de sorte que l'éventualité de ce séjour hors de l'Espace Schengen ne saurait être prise en compte en l'espèce. Au demeurant, la France, l'Italie et la Suisse étant tous trois membres de l'Espace Schengen, le séjour global du prénommé dans dit Espace (que cela soit en Suisse seulement ou dans les 3 pays) du 23 août 2014 au 5 novembre 2014 - soit un excédent de 75 jours - était irrégulier. Enfin, à l'appui de son recours et de sa détermination du 11 juillet 2016, A._______ a produit comme moyens de preuve les copies de factures d'un hôtel à Casablanca pour des séjours ayant eu lieu du 9 au 11 mai 2014 et du 22 au 25 mai 2014 et d'un hôtel à Montréal pour un séjour du 11 au 18 mai 2014, soit pour des périodes antérieures à son entrée en Suisse le 25 mai 2014 et non litigieuses. Ces moyens de preuve ne sont donc pas pertinents. Quant à la demande d'autorisation de travail en faveur de A._______ qu'une société française aurait adressée le 3 juin 2014 à une préfecture parisienne, bien que le recourant ait fait valoir cet argument dans ses écritures du 11 juillet 2016, soit plus de deux ans après le dépôt de cette requête, il n'en a pas produit les résultats et n'a pas rapporté la preuve que les autorités françaises l'auraient autorisé à séjourner et travailler à Paris, soit dans l'Espace Schengen, durant la période litigieuse. Enfin, quant à la réservation faite à Genève le 24 octobre 2014 d'un billet d'avion de retour au Canada via Casablanca pour les 5 et 6 décembre 2014, elle n'est pas non plus pertinente. Il y a ainsi lieu de constater que A._______ n'a pas été en mesure de rapporter la preuve qu'il aurait réellement quitté l'Espace Schengen durant la période du 25 mai 2014 au 5 novembre 2014. En conséquence, le Tribunal ne peut que constater que celui-ci a dépassé la durée du séjour autorisé dans dit Espace du 23 août 2014 au 5 novembre 2014, soit durant 75 jours, comme le mentionne à juste titre l'autorité de première instance dans la décision querellée. Le Tribunal relève ainsi que A._______ a bien violé les prescriptions en matière de police des étrangers.</w:t>
      </w:r>
    </w:p>
    <w:p>
      <w:r>
        <w:rPr>
          <w:b/>
        </w:rPr>
        <w:t>E. 6.4</w:t>
      </w:r>
    </w:p>
    <w:p>
      <w:r>
        <w:t>Vu ce qui précède, force est d'admettre que l'interdiction d'entrée prononcée le 5 décembre 2014 en application de l'art. 67 LEtr est parfaitement justifiée dans son principe, A._______ ayant bien attenté à la sécurité et à l'ordre publics par son comportement. A cet égard, il sied de rappeler (cf. consid. 5.5.3 supra) qu'aux termes de l'art. 80 al. 1 let. a OASA, il y a notamment atteinte à la sécurité et à l'ordre publics en cas de violation de prescriptions légales ou de décisions d'autorités. Or, comme évoqué ci-avant, tel est précisément le cas en l'espèce, le fait de séjourner illégalement en Suisse ou dans l'Espace Schengen sans autorisation idoine constitue bien une violation des prescriptions légales.</w:t>
      </w:r>
    </w:p>
    <w:p>
      <w:r>
        <w:rPr>
          <w:b/>
        </w:rPr>
        <w:t>E. 7</w:t>
      </w:r>
    </w:p>
    <w:p>
      <w:r>
        <w:t>Il convient encore d'examiner si la mesure d'éloignement prise par l'autorité intimée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arrêts du TAF C-5001/2014 du 30 juin 2015 consid. 6.1, C-1487/2013 du 19 mai 2014 consid. 6.1 et les arrêts cités).</w:t>
      </w:r>
    </w:p>
    <w:p>
      <w:r>
        <w:rPr>
          <w:b/>
        </w:rPr>
        <w:t>E. 7.2</w:t>
      </w:r>
    </w:p>
    <w:p>
      <w:r>
        <w:t>En l'espèce, il appert que le motif retenu à l'appui de la mesure d'éloignement prise à l'endroit du recourant (séjour illégal) ne saurait être contesté et que les infractions aux prescriptions de police des étrangers doivent être qualifiées de graves (cf. consid. 5.5.3 ci-dessus). Or, compte tenu du nombre élevé de contraventions commises par les étrangers, les autorités sont contraintes d'intervenir avec sévérité afin d'assurer la stricte application des prescriptions édictées dans ce domaine.</w:t>
      </w:r>
    </w:p>
    <w:p>
      <w:r>
        <w:rPr>
          <w:b/>
        </w:rPr>
        <w:t>E. 7.2.1</w:t>
      </w:r>
    </w:p>
    <w:p>
      <w:r>
        <w:t>Dans le cadre de l'analyse du principe de proportionnalité au sens étroit, l'intérêt privé du recourant à pouvoir se déplacer librement en Suisse et dans l'Espace Schengen est un élément qui doit être examiné. L'intéressé n'a aucune famille en Suisse et affirme n'y exercer aucune activité lucrative. Au demeurant, si A._______ a certes allégué qu'en date du 3 juin 2014, une demande d'octroi d'autorisation de séjour avec activité lucrative avait été déposée à Paris en sa faveur, il n'a toutefois pas indiqué le résultat de cette requête. Au demeurant, il pourrait toujours demander aux autorités françaises de lui délivrer un visa à validité territoriale limitée, s'il devait en remplir les conditions (cf. consid. 5.4 ci-dessus). Il en découle que le prénommé n'a pas démontré disposer d'un intérêt privé particulier à pouvoir se rendre dans l'Espace Schengen. Le Tribunal estime ainsi que les éléments mis en avant par le recourant ne sauraient être considérés comme prépondérants par rapport à l'intérêt public à son éloignement du territoire helvétique.</w:t>
      </w:r>
    </w:p>
    <w:p>
      <w:r>
        <w:rPr>
          <w:b/>
        </w:rPr>
        <w:t>E. 7.3</w:t>
      </w:r>
    </w:p>
    <w:p>
      <w:r>
        <w:t>Tenant compte de l'ensemble des éléments objectifs et subjectifs de la cause, le Tribunal juge que l'interdiction d'entrée en Suisse prise par l'autorité inférieure le 5 décembre 2014 est nécessaire et adéquate afin de prévenir toute nouvelle atteinte à la sécurité et à l'ordre publics en Suisse et dans l'Espace Schengen. La durée de la mesure - deux ans - fondée sur un séjour illégal de 75 jours est justifiée. Par ailleurs, prenant en considération les décisions prises par les autorités dans des cas analogues, la mesure n'est pas contraire au principe d'égalité de traitement (cf. arrêt du TAF C-1385/2012 du 14 septembre 2012 consid. 8.4).</w:t>
      </w:r>
    </w:p>
    <w:p>
      <w:r>
        <w:rPr>
          <w:b/>
        </w:rPr>
        <w:t>E. 7.4</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8</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