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F-1419/2022 vom 13. Februar 2023</w:t>
      </w:r>
    </w:p>
    <w:p>
      <w:r>
        <w:t>Bundesverwaltungsgericht, 2023-02-13, DE</w:t>
      </w:r>
    </w:p>
    <w:p>
      <w:r>
        <w:rPr>
          <w:b/>
        </w:rPr>
        <w:t xml:space="preserve">Quelle: </w:t>
      </w:r>
      <w:r>
        <w:t>https://mcp.opencaselaw.ch/entscheid/bvger_F-1419_2022</w:t>
      </w:r>
    </w:p>
    <w:p>
      <w:r>
        <w:t>FR: TAF F-1419/2022 du 13 février 2023</w:t>
      </w:r>
    </w:p>
    <w:p>
      <w:r>
        <w:t>IT: TAF F-1419/2022 del 13 febbraio 2023</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In formeller Hinsicht rügt die Parteivertreterin, die Vorinstanz habe das rechtliche Gehör ihres Mandanten infolge unzureichender, zu pauschaler Begründung verletzt. Massgebliche Vorbringen seien in der angefochtenen Verfügung unbeachtet geblieben, weswegen diese die Mindestanforderungen an die Begründungsdichte nicht erfülle.</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Aus der angefochtenen Verfügung geht hervor, aus welchen Gründen die Vorinstanz ein zweijähriges Einreiseverbot erliess (Anhäufung hoher Schulden, wiederholte Straftaten, Bedeutung des Verhältnisses des Beschwerdeführers zu seiner in der Schweiz anwesenheitsberechtigen Familie). Diejenigen Rechtsgrundlagen, auf welche sie zurückgriff (Art. 67 Abs. 2 Bst. a und b des Ausländer- und Integrationsgesetzes [AIG, SR 142.20] in der hier anwendbaren, bis am 21. November 2022 gültig gewesenen Fassung vom 18. Juni 2010 [AS 2010 5925], Art. 8 EMRK), hat sie hierbei aufgeführt. Ebenso erfolgten Hinweise auf im Aufenthaltsverfahren ergangene Entscheide des Migrationsamtes des Kantons St. Gallen und des Bundesgerichts. Wohl beinhaltet die Begründung der angefochtenen Verfügung namentlich mit Blick auf den Prozess der Interessenabwägung auch implizite Aspekte, allerdings kann und muss die Begründungsdichte erstinstanzlicher Entscheide nicht derjenigen höherer Instanzen entsprechen (vgl. etwa Urteil des BVGer F-3551/2018 vom 7. Oktober 2020 E. 4.3 m.H.). Entscheidend ist, dass es dem juristisch vertretenen Beschwerdeführer vorliegend ohne weiteres möglich war, sich sachgerecht gegen die vorinstanzliche Verfügung zur Wehr zu setzen. Die Rüge betreffend Verletzung des rechtlichen Gehörs bzw. der Begründungspflicht erweist sich demnach als unbegründet.</w:t>
      </w:r>
    </w:p>
    <w:p>
      <w:r>
        <w:rPr>
          <w:b/>
        </w:rPr>
        <w:t>E. 4.1</w:t>
      </w:r>
    </w:p>
    <w:p>
      <w:r>
        <w:t>Das SEM kann nach Art. 67 Abs. 2 AIG (in der hier anwendbaren, bis am 21. November 2022 gültig gewesenen Fassung vom 18. Juni 2010 [AS 2010 5925])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erster Satz AIG).</w:t>
      </w:r>
    </w:p>
    <w:p>
      <w:r>
        <w:rPr>
          <w:b/>
        </w:rPr>
        <w:t>E. 4.2</w:t>
      </w:r>
    </w:p>
    <w:p>
      <w:r>
        <w:t>Das Einreiseverbot stellt keine Sanktion für vergangenes Fehlverhalten dar, sondern dient der Abwendung einer künftigen Störung der öffentlichen Sicherheit und Ordnung (siehe Botschaft zum Bundesgesetz über die Ausländerinnen und Ausländer vom 8. März 2002 [nachfolgend: Botschaft] BBl 2002 3813). Die öffentliche Sicherheit und Ordnung im Sinne von Art. 67 Abs. 2 Bst. a AIG (in der hier anwendbaren, bis am 21. November 2022 gültig gewesenen Fassung vom 18. Juni 2010 [AS 2010 5925]) bildet den Oberbegriff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der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etwa BVGE 2017 VII/2 E. 4.4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wirft dem Beschwerdeführer in der angefochtenen Verfügung vorab vor, Schulden angehäuft und eine erhebliche Schuldenwirtschaft betrieben zu haben. Sie stützt sich dabei hauptsächlich auf die im Aufenthaltsverfahren ergangenen Entscheide. Diesen lässt sich diesbezüglich entnehmen, dass die Schulden im Verlaufe der Jahre stetig zugenommen haben. So beliefen sich die Forderungen aus nicht getilgten Verlustscheinen gegenüber dem Beschwerdeführer im Januar 2015 auf ungefähr Fr. 170'000.-, im Mai 2017 bereits auf Fr. 240'000.- und im August 2018 auf Fr. 260'000.-. Im Februar 2020 betrugen sie schliesslich rund Fr. 320'000.- (vgl. SEM act. 1/1-15, 1/21-42, 1/47-63 und 1/98-115). Seither hat sich seine finanzielle Situation, soweit ersichtlich, nicht nennenswert verändert. Schuldenwirtschaft stellt grundsätzlich eine Störung der öffentlichen Sicherheit und Ordnung dar (vgl. etwa Urteile des BVGer F-1007/2021 vom 3. November 2021 E. 6.2 oder F-1876/2020 vom 9. Oktober 2020 E. 6.2.2). Ein solcher Verstoss ist jedenfalls dann anzunehmen, wenn die Verschuldung mutwillig erfolgt ist (vgl. Art. 80 Abs. 1 Bst. b VZAE; Urteile des BVGer F-1812/2017 vom 5. März 2018 E. 6.4 und F-5519/2015 vom 12. Juni 2017 E. 5.3.1; Urteile der BGer 2C_865/2015 vom 1. Oktober 2015, E. 2.2.2 und 2D_37/2014 vom 9. Februar 2015 E. 2.2). Dies ist vorliegend nur schon aufgrund der Schuldenhöhe sowie der langen Zeitspanne, innert welcher der Betroffene seinen finanziellen Verpflichtungen nicht nachkam, der Fall. Kommt hinzu, dass die Höhe der Ausstände (nicht bezahlt wurden insbesondere Mieten, Krankenkassenprämien und Steuern) trotz drei ausländerrechtlicher Verwarnungen unvermindert anstieg und der Beschwerdeführer keine zureichenden Anstrengungen zur Sanierung seiner Situation unternahm. Auch die urteilenden Instanzen im Aufenthaltsverfahren sind denn von mutwilliger Vernachlässigung der finanziellen Verpflichtungen ausgegangen. Die Voraussetzungen für den Erlass eines Einreiseverbots nach Art. 67 Abs. 2 Bst. a (in der hier anwendbaren, bis am 21. November 2022 gültig gewesenen Fassung vom 18. Juni 2010 [AS 2010 5925]) sind somit erfüllt.</w:t>
      </w:r>
    </w:p>
    <w:p>
      <w:r>
        <w:rPr>
          <w:b/>
        </w:rPr>
        <w:t>E. 5.2</w:t>
      </w:r>
    </w:p>
    <w:p>
      <w:r>
        <w:t>Als zweiten Grund für die Verhängung einer Fernhaltemassnahme nannte das SEM die Vielzahl der strafrechtlich relevanten Verfehlungen. In strafrechtlicher Hinsicht hat der Beschwerdeführer zwischen Juli 1994 und November 2017 regelmässig delinquiert und insgesamt 45 Verurteilungen erwirkt. Darunter befinden sich neben zahlreichen Bussen wegen Strassenverkehrsdelikten auch sechs Geldstrafen sowie drei Freiheitsstrafen im Umfang von insgesamt zwei Monaten. Vier Vergehen stehen im Zusammenhang mit Betreibungsverfahren. In der Häufigkeit nahmen die Straftaten ab, an Schwere eher zu (im Einzelnen siehe die Zusammenstellung im Entscheid des Sicherheits- und Justizdepartements des Kantons St. Gallen vom 19. Oktober 2020 [SEM act. 1/21-42]). Wohl handelt es sich grösstenteils um untergeordnete, zeitlich zum Teil weit zurückliegende Verstösse, jedoch manifestiert deren Häufung eine nicht unerhebliche Gleichgültigkeit und Geringschätzung des Beschwerdeführers der Rechtsordnung gegenüber. Negativ ins Gewicht fällt ausserdem, dass es auch im Gefolge der Aufarbeitung der finanziellen Situation zu strafrechtlich relevanten Verfehlungen seinerseits gekommen ist (eine Verurteilung wegen Pfändungsbetrugs, drei Verurteilungen wegen Ungehorsams des Schuldners im Betreibungs- und Konkursverfahren). Soweit auf Beschwerdeebene jegliches Gefahrenpotenzial verneint wird, gilt es im Übrigen anzumerken, dass bei der Prognosestellung in erster Linie auf das vergangene Verhalten der betroffenen Person abzustellen ist und das Risiko einer künftigen Gefährdung der öffentlichen Sicherheit und Ordnung vermutet wird (siehe Botschaft, a.a.O., S. 3760). Nach dem Gesagten besteht vorliegend offensichtlich eine gewisse Gefahr für eine weitere Delinquenz des Beschwerdeführers. Der in diesem Zusammenhang erhobenen Rüge der unhaltbaren Ermittlung bzw. unvollständigen Feststellung des Sachverhalts ist damit die Grundlage entzogen.</w:t>
      </w:r>
    </w:p>
    <w:p>
      <w:r>
        <w:rPr>
          <w:b/>
        </w:rPr>
        <w:t>E. 5.3</w:t>
      </w:r>
    </w:p>
    <w:p>
      <w:r>
        <w:t>Zusammenfassend liegen mehrere Gründe vor, welche die Verhängung einer Fernhaltemassnahme im Sinne von Art. 67 Abs. 2 Bst. a AIG (in der hier anwendbaren, bis am 21. November 2022 gültig gewesenen Fassung vom 18. Juni 2010 [AS 2010 5925]) dem Grundsatze nach rechtfertigen.</w:t>
      </w:r>
    </w:p>
    <w:p>
      <w:r>
        <w:rPr>
          <w:b/>
        </w:rPr>
        <w:t>E. 6.1</w:t>
      </w:r>
    </w:p>
    <w:p>
      <w:r>
        <w:t>Zu prüfen bleibt, ob die Fernhaltemassnahme in richtiger Ausübung des Ermessens ergangen und angemessen ist. Den Entscheid darüber, ob ein Einreiseverbot anzuordnen und wie es innerhalb des zulässigen zeitlichen Rahmens zu befristen ist, legt Art. 67 Abs. 2 AIG (in der hier anwendbaren, bis am 21. November 2022 gültig gewesenen Fassung vom 18. Juni 2010 [AS 2010 5925])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Die dargelegte, vom Beschwerdeführer ausgehende Gefahr für die öffentliche Sicherheit und Ordnung spricht für ein nicht unerhebliches öffentliches Interesse an seiner Fernhaltung.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bereits angesprochene generalpräventiv motivierte Interesse, die öffentliche Sicherheit und Ordnung durch eine konsequente Massnahmenpraxis zu schützen (vgl. BVGE 2014/20 E. 8.2 m.H.).</w:t>
      </w:r>
    </w:p>
    <w:p>
      <w:r>
        <w:rPr>
          <w:b/>
        </w:rPr>
        <w:t>E. 6.3</w:t>
      </w:r>
    </w:p>
    <w:p>
      <w:r>
        <w:t>Den vorstehenden Interessen stellt der Beschwerdeführer seine privaten Interessen gegenüber. Er habe mit seiner Schweizer Ehefrau und den fünf gemeinsamen Kindern zusammen in der Schweiz gelebt und sei ein sehr engagierter und einfühlsamer Vater. Angesichts seiner finanziellen Verhältnisse würden Familienbesuche mit einem Einreiseverbot praktisch verunmöglicht. Im vorliegenden Fall gelte es insbesondere das Kindeswohl als Leitlinie zu beachten. Die Kinder benötigten Aufmerksamkeit. Sie würden durch die entstandene Situation stark belastet und berichteten von Hoffnungslosigkeit und Zukunftsängsten. Drei der Kinder litten übermässig stark darunter und benötigten gemäss Angaben der Familienpsychologin mehr als andere Kinder im selben Alter beide Elternteile. Sollten sie von ihrem Vater getrennt werden, drohe ihnen eine akute Kindswohlgefährdung. Durch den Erlass eines Einreiseverbots habe die Vorinstanz deshalb Art. 13 BV und Art. 8 EMRK sowie den Grundsatz der Verhältnismässigkeit verletzt.</w:t>
      </w:r>
    </w:p>
    <w:p>
      <w:r>
        <w:rPr>
          <w:b/>
        </w:rPr>
        <w:t>E. 6.3.1</w:t>
      </w:r>
    </w:p>
    <w:p>
      <w:r>
        <w:t>Es steht ausser Frage, dass das Einreiseverbot das Recht der Beteiligten auf ein von staatlichen Eingriffen ungestörtes Familienleben berührt. Bei der Beurteilung der Eingriffsschwere gilt es allerdings vorweg klarzustellen, dass Einschränkungen des Privat- und Familienlebens aufgrund sachlicher und funktioneller Unzuständigkeit des Bundesverwaltungsgerichts nicht Verfahrensgegenstand sein können, soweit sie auf das Fehlen eines dauerhaften Anwesenheitsrechts hierzulande zurückzuführen sind. Der Beschwerdeführer war vorliegend gehalten, die Schweiz nach der durch das Bundesgericht in letzter Instanz bestätigten Nichtverlängerung der Aufenthaltsbewilligung zu verlassen (siehe Urteil 2C_318/2021). Die Pflege regelmässiger persönlicher Kontakte zu hierzulande ansässigen Personen - insbesondere der Schweizer Ehefrau und den fünf gemeinsamen Kindern - scheitert daher bereits am fehlenden Aufenthaltsrecht (vgl. dazu BVGE 2013/4 E. 7.4.1 und 7.4.2).</w:t>
      </w:r>
    </w:p>
    <w:p>
      <w:r>
        <w:rPr>
          <w:b/>
        </w:rPr>
        <w:t>E. 6.3.2</w:t>
      </w:r>
    </w:p>
    <w:p>
      <w:r>
        <w:t>Wie eben dargetan, hat das über den Beschwerdeführer verhängte Einreiseverbot, über den Entzug des Aufenthaltsrechts hinaus, zur Folge, dass der Betroffene seine hier lebende Ehefrau und die Kinder nicht mehr beliebig besuchen darf. Die Verhältnismässigkeit der Massnahme an sich wird dadurch aber nicht in Frage gestellt, wäre das Instrument des Einreiseverbots doch ansonsten gegenüber allen Personen mit Familienangehörigen in der Schweiz von vornherein unzulässig (vgl. Urteil des BGer 2C_270/2015 vom 6. August 2015 E. 8.2). Der durch Art. 8 EMRK und Art. 13 BV geschützten Garantie des Familienlebens kommt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wie dem Beschwerdeführer aufgrund der angefochtenen Verfügung bekannt, vorgängig um die Aussetzung des Einreiseverbots ersucht werden muss (vgl. Art. 67 Abs. 5 erster Satz AIG). Insoweit sind die Auswirkungen der Fernhaltemassnahme zu relativieren.</w:t>
      </w:r>
    </w:p>
    <w:p>
      <w:r>
        <w:rPr>
          <w:b/>
        </w:rPr>
        <w:t>E. 6.3.3</w:t>
      </w:r>
    </w:p>
    <w:p>
      <w:r>
        <w:t>Eine Suspension des Einreiseverbots kann vom SEM auf Gesuch hin für eine kurze und klar begrenzte Zeit gewährt werden und sie darf die erlassene Massnahme nicht aushöhlen (BVGE 2013/4 E. 7.4.3). Ansonsten können die familiären Kontakte mittels der heute zur Verfügung stehenden Kommunikationsmittel (z.B. WhatsApp, SMS, Skype, Facebook, usw.) oder durch persönliche Treffen ausserhalb des Schengenraums aufrechterhalten werden. Dem diesbezüglichen Einwand, ein Besuch im Ausland sei aus finanziellen Gründen nicht möglich, ist zu entgegnen, dass es für die Familienangehörigen günstigere Möglichkeiten gäbe, den Beschwerdeführer in Bosnien an dessen Domizil zu besuchen als die beispielhaft aufgezeigte Variante mit Flugreisen und Hotelübernachtungen. Zu ergänzen wäre an dieser Stelle, dass selbst das intakte Familienleben den Beschwerdeführer nicht davon abzuhalten vermochte, immer wieder - und stetig - straffällig zu werden und sich erheblich weiter zu verschulden (siehe ebenfalls Urteil 2C_318/2021 E. 7.4 in fine).</w:t>
      </w:r>
    </w:p>
    <w:p>
      <w:r>
        <w:rPr>
          <w:b/>
        </w:rPr>
        <w:t>E. 6.3.4</w:t>
      </w:r>
    </w:p>
    <w:p>
      <w:r>
        <w:t>Soweit auf Beschwerdeebene mit dem Kindeswohl als Leitlinie argumentiert wird, ist dem Bundesverwaltungsgericht bewusst, dass ein regelmässiger physischer Kontakt mit den Kindern - insbesondere im Alter eines Teils der Kinder des Beschwerdeführers - für deren Entwicklung wesentlich ist. Aus der undatierten Bestätigung der Klassenlehrerin und der E-Mail der Schulleitung X._______ vom 4. Januar 2021 ergibt sich allerdings nicht mehr, als dass sich der Beschwerdeführer in dieser Hinsicht in einem zwar positiv zu würdigenden, aber üblichen Masse persönlich engagiert hat (Beschwerdebeilage 6). Die medizinischen Befunde betreffend die Kinder Y._______ und Z._______ aus den Jahren 2019 und 2020 beziehen sich derweil auf Belastungsfaktoren (Epilepsie bzw. ADHS), welche bereits in der Vergangenheit bestanden (Beschwerdebeilagen 7, 8 und 9). Überdies wird die im Bericht der Familienpsychologin vom 9. April 2021 beschriebene Belastungssituation auf Seiten der Kinder (Beschwerdebeilage 10) nicht verkannt. Durch die unter E. 6.3.3 aufgezeigten Möglichkeiten ist für die Betroffenen indes ein gewisses Mass an Familienleben gewährleistet, bei dem das gemäss Art. 3 Abs. 1 des Übereinkommens vom 20. November 1989 über die Rechte des Kindes (KRK, SR 0.107) zu berücksichtigende Kindeswohl nicht ausser Acht gelassen wird. Abgesehen davon hat die Vorinstanz den privaten Interessen der in der Schweiz verbleibenden Familienmitglieder mit der vergleichsweise kurzen Dauer der Massnahme von zwei Jahren Rechnung getragen, werden in ähnlich gelagerten Fällen doch längere Einreiseverbote verhängt (vgl. bspw. Urteile des BVGer F-6257/2018 vom 8. Oktober 2019 und F-1812/2017 vom 5. März 2018 [vierjährige Einreiseverbote] oder auch F-1007/2021 vom 3. November 2022 [Einreiseverbot von zwei Jahren bei Schulden von lediglich rund Fr. 13'000.-). Eine weitere Reduktion bzw. ein gänzliches Absehen von einer Fernhaltemassnahme fällt daher ausser Betracht.</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7</w:t>
      </w:r>
    </w:p>
    <w:p>
      <w:r>
        <w:t>Nicht zu beanstanden ist schliesslich, dass dem Beschwerdeführer die Einreise in das Hoheitsgebiet sämtlicher Schengen-Staaten verboten wurde (vgl. Art. 21. i.V.m. Art. 24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(siehe Art. 24 Ziff. 2 Bst. a SIS-II-VO)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8</w:t>
      </w:r>
    </w:p>
    <w:p>
      <w:r>
        <w:t>Aus den vorstehenden Erwägungen ergibt sich, dass die angefochtene Verfügung im Lichte von Art. 49 VwVG nicht zu beanstanden ist. Die Beschwerde ist demzufolge abzuweisen.</w:t>
      </w:r>
    </w:p>
    <w:p>
      <w:r>
        <w:rPr>
          <w:b/>
        </w:rPr>
        <w:t>E. 9.1</w:t>
      </w:r>
    </w:p>
    <w:p>
      <w:r>
        <w:t>Bei diesem Ausgang des Verfahrens würde der Beschwerdeführer grundsätzlich kostenpflichtig (Art. 63 Abs. 1 VwVG). Mit Zwischenverfügung vom 12. April 2022 hat das Bundesverwaltungsgericht dem Gesuch um unentgeltliche Rechtspflege und Verbeiständung im Sinne von Art. 65 Abs. 1 und 2 VwVG stattgegeben (BVGer act. 3). Demzufolge ist er von der Bezahlung der Verfahrenskosten befreit.</w:t>
      </w:r>
    </w:p>
    <w:p>
      <w:r>
        <w:rPr>
          <w:b/>
        </w:rPr>
        <w:t>E. 9.2</w:t>
      </w:r>
    </w:p>
    <w:p>
      <w:r>
        <w:t>Das Gericht setzt die Entschädigung für die amtlich bestellten Anwältinnen und Anwälte aufgrund der Kostennote fest. Wird - wie vorliegend - keine Kostennote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(vgl. bspw. Urteile des BVGer F-5023/2021 vom 25. August 2022 oder F-2273/2021 vom 27. Juni 2022) ist das Honorar nach Massgabe der einschlägigen Bestimmungen auf Fr. 2'000.- (inkl. Auslagen und Mehrwertsteuerzuschlag im Sinne von Art. 9 Abs. 1 Bst. c VGKE) festzusetzen. Gelangt der Beschwerdeführer später zu hinreichenden Mitteln, so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