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F-1410/2019 vom 25. März 2021</w:t>
      </w:r>
    </w:p>
    <w:p>
      <w:r>
        <w:t>Bundesverwaltungsgericht, 2021-03-25, FR</w:t>
      </w:r>
    </w:p>
    <w:p>
      <w:r>
        <w:rPr>
          <w:b/>
        </w:rPr>
        <w:t xml:space="preserve">Quelle: </w:t>
      </w:r>
      <w:r>
        <w:t>https://mcp.opencaselaw.ch/entscheid/bvger_F-1410_2019</w:t>
      </w:r>
    </w:p>
    <w:p>
      <w:r>
        <w:t>FR: TAF F-1410/2019 du 25 mars 2021</w:t>
      </w:r>
    </w:p>
    <w:p>
      <w:r>
        <w:t>IT: TAF F-1410/2019 del 25 marzo 2021</w:t>
      </w:r>
    </w:p>
    <w:p>
      <w:pPr>
        <w:pStyle w:val="Heading2"/>
      </w:pPr>
      <w:r>
        <w:t>Regeste</w:t>
      </w:r>
    </w:p>
    <w:p>
      <w:r>
        <w:t>Interdiction d'entrée</w:t>
      </w:r>
    </w:p>
    <w:p>
      <w:pPr>
        <w:pStyle w:val="Heading2"/>
      </w:pPr>
      <w:r>
        <w:t>Erwägungen</w:t>
      </w:r>
    </w:p>
    <w:p>
      <w:r>
        <w:rPr>
          <w:b/>
        </w:rPr>
        <w:t>E. 8</w:t>
      </w:r>
    </w:p>
    <w:p>
      <w:r>
        <w:t>Au vu de ce qui précède, le Tribunal de céans considère que l'autorité inférieure, en rendant sa décision du 22 février 2019, n'a ni violé le droit fédéral, ni constaté des faits pertinents de manière inexacte ou incomplète ; en outre, cette décision n'est pas inopportune (art. 49 PA). Par conséquent, le recours est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