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F-1409/2018 vom 6. April 2020</w:t>
      </w:r>
    </w:p>
    <w:p>
      <w:r>
        <w:t>Bundesverwaltungsgericht, 2020-04-06, DE</w:t>
      </w:r>
    </w:p>
    <w:p>
      <w:r>
        <w:rPr>
          <w:b/>
        </w:rPr>
        <w:t xml:space="preserve">Quelle: </w:t>
      </w:r>
      <w:r>
        <w:t>https://mcp.opencaselaw.ch/entscheid/bvger_F-1409_2018</w:t>
      </w:r>
    </w:p>
    <w:p>
      <w:r>
        <w:t>FR: TAF F-1409/2018 du 6 avril 2020</w:t>
      </w:r>
    </w:p>
    <w:p>
      <w:r>
        <w:t>IT: TAF F-1409/2018 del 6 aprile 2020</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über die Ausländerinnen und Ausländer vom 16. Dezember 2005 (AuG) eine Teilrevision und Namensänderung erfahren (Änderung vom 16. Dezember 2016, AS 2018 3171). Es heisst neu Bundesgesetz über die Ausländerinnen und Ausländer und über die Integration (AIG). Gleichzeitig sind die Änderungen vom 15. August 2018 der Verordnung über Zulassung, Aufenthalt und Erwerbstätigkeit vom 24. Oktober 2007 (VZAE, SR 142.201; vgl. AS 2018 3173) in Kraft getreten. Im vorliegenden Urteil wird die neue Bezeichnung AIG verwendet. Auf die Teilrevision von Gesetz und Verordnung wird nur insoweit eingegangen, als die einschlägigen Bestimmungen Änderungen erfahren haben.</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entschieden, dass Einreiseverbote, die auf der Grundlage von Art. 67 Abs. 1 oder 2 AIG ergehen, zwingend auf eine bestimmte Dauer zu befristen sind. Die Verbotsdauer kann dabei bis maximal 15 Jahre, im Wiederholungsfall 20 Jahre betragen (BVGE 2014/20 E. 6.9 und 7). Aus humanitären oder anderen wichtigen Gründen kann die zuständige Behörde von der Verhängung eines Einreiseverbots absehen oder ein Einreiseverbot vollständig oder vorübergehend aufheben (Art. 67 Abs. 5 AIG).</w:t>
      </w:r>
    </w:p>
    <w:p>
      <w:r>
        <w:rPr>
          <w:b/>
        </w:rPr>
        <w:t>E. 4.2</w:t>
      </w:r>
    </w:p>
    <w:p>
      <w:r>
        <w:t>Ein Verstoss gegen die öffentliche Sicherheit und Ordnung liegt unter anderem vor, wenn gesetzliche Vorschriften oder behördliche Verfügungen missachtet werden (Art. 77a Abs. 1 Bst. a VZAE, inhaltlich identisch mit Art. 80 Abs. 1 Bst. a VZAE in der bis zum 31. Dezember 2018 geltenden Fassung).</w:t>
      </w:r>
    </w:p>
    <w:p>
      <w:r>
        <w:rPr>
          <w:b/>
        </w:rPr>
        <w:t>E. 4.3</w:t>
      </w:r>
    </w:p>
    <w:p>
      <w:r>
        <w:t>Eine schwerwiegende Gefahr für die öffentliche Sicherheit und Ordnung im Sinne von Art. 67 Abs. 3 zweiter Satz AIG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BVGE 2014/20 E. 5.2).</w:t>
      </w:r>
    </w:p>
    <w:p>
      <w:r>
        <w:rPr>
          <w:b/>
        </w:rPr>
        <w:t>E. 4.4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4.5</w:t>
      </w:r>
    </w:p>
    <w:p>
      <w:r>
        <w:t>Das deliktische Verhalten des Beschwerdeführers, welches zwischen 2000 und 2017 zu insgesamt einundzwanzig strafrechtlichen Verurteilungen führte, stellt einen Verstoss gegen die öffentliche Sicherheit und Ordnung gemäss Art. 67 Abs. 2 Bst. a AIG dar und kann demnach grundsätzlich zur Verhängung einer Fernhaltemassnahme führen. Dies wird vom Beschwerdeführer nicht grundsätzlich bestritten. Er stellt aber in Abrede, dass von ihm aktuell noch eine Gefahr für die öffentliche Sicherheit und Ordnung ausgehe. Der letzte strafrechtlich relevante Sachverhalt habe sich zwischen September 2013 und Januar 2014 zugetragen und sei am 7. Mai 2015 vom Bezirksgericht Bremgarten abgeurteilt worden. Somit lebe er seit Januar 2014 deliktsfrei. Zudem habe er nie irgendjemanden gefährdet oder sei tätlich geworden (BVGer-act. 1 Ziff. 3). Darauf wird an späterer Stelle einzugehen sein.</w:t>
      </w:r>
    </w:p>
    <w:p>
      <w:r>
        <w:rPr>
          <w:b/>
        </w:rPr>
        <w:t>E. 5.1</w:t>
      </w:r>
    </w:p>
    <w:p>
      <w:r>
        <w:t>Nachdem die Vorinstanz ein über fünfjähriges Einreiseverbot ausgesprochen und damit eine schwerwiegende Gefahr für die öffentliche Sicherheit und Ordnung im Sinne von Art. 67 Abs. 3 zweiter Satz AIG bejaht hat, ist nachfolgend zu prüfen, ob die Voraussetzungen dazu gegeben waren.</w:t>
      </w:r>
    </w:p>
    <w:p>
      <w:r>
        <w:rPr>
          <w:b/>
        </w:rPr>
        <w:t>E. 5.2</w:t>
      </w:r>
    </w:p>
    <w:p>
      <w:r>
        <w:t>Der Beschwerdeführer wurde im Alter von 18 Jahren erstmals straffällig. In der Folge delinquierte er über einen Zeitraum von 15 Jahren in mehr oder weniger regelmässigen Abständen weiter, wobei seine Straftaten tendenziell immer schwerer wurden. Am 7. Mai 2015 erwirkte er seine schwerwiegendste Verurteilung zu 24 Monaten Freiheitsstrafe, davon acht Monate unbedingt, wegen qualifizierter Widerhandlung gegen das Betäubungsmittelgesetz. Der Beschwerdeführer hatte beim gewerbsmässigen Anbau und der Vorbereitung zum Verkauf von mindestens 2.5 kg Marihuana mitgewirkt. Die Begehung der Straftat erfolgte professionell, organisiert und bandenmässig. Die Motive des Beschwerdeführers waren rein finanzieller Art (AG-act. 415 ff.; 595 ff.). Dieses vom Beschwerdeführer begangene Betäubungsmitteldelikt betrifft einen Bereich, der wegen der Hochwertigkeit der betroffenen Rechtsgüter als besonders sensibel gilt und in dem selbst ein geringes Restrisiko weiterer Störungen nicht in Kauf zu nehmen ist. Bereits dieses Delikt kann daher als Grundlage für die Annahme einer schwerwiegenden Gefahr im Sinne von Art. 67 Abs. 3 zweiter Satz AIG dienen (BGE 139 I 31 E. 2.3.2; 139 I 145 E. 2.5; 139 II 121 E. 6.3 und 8.2; statt vieler: Urteil des BVGer F-7209/2016 vom 13. August 2019 E. 7.3).</w:t>
      </w:r>
    </w:p>
    <w:p>
      <w:r>
        <w:rPr>
          <w:b/>
        </w:rPr>
        <w:t>E. 5.3</w:t>
      </w:r>
    </w:p>
    <w:p>
      <w:r>
        <w:t>Zusätzlich ins Gewicht fallen die zahlreichen weiteren strafrechtlichen Verurteilungen des Beschwerdeführers wegen diverser, teils gravierender Verstösse gegen die geltende Rechtsordnung. Hervorzuheben ist dabei die Verurteilung des Beschwerdeführers durch das Obergericht des Kantons Aargau vom 17. Dezember 2009 wegen Gehilfenschaft zum bandenmässigen Diebstahl, welcher Einbruch- und Einschleichdiebstähle mit einem Deliktsbetrag von total ca. Fr. 450'000.- zugrunde lagen (AG-act. 199 ff.).</w:t>
      </w:r>
    </w:p>
    <w:p>
      <w:r>
        <w:rPr>
          <w:b/>
        </w:rPr>
        <w:t>E. 5.4</w:t>
      </w:r>
    </w:p>
    <w:p>
      <w:r>
        <w:t>Angesichts der langjährigen Delinquenz, die sich teilweise gegen hochwertige Rechtsgüter richtete, zunehmend schwerer wurde sowie von hoher krimineller Energie zeugte, kann dem Beschwerdeführer keine gute Gefährdungsprognose gestellt werden. Für diese Einschätzung spricht ferner, dass sich der Beschwerdeführer weder von Vorstrafen, Probezeiten noch von wiederholten ausländerrechtlichen Verwarnungen - selbst der ihm vom kantonalen Rekursgericht eingeräumten, explizit als solcher bezeichneten allerletzten Chance (AG-act. 347) - von weiterem deliktischem Handeln abhalten liess. Das Bundesgericht hielt im Urteil zum Widerruf der Niederlassungsbewilligung und Wegweisung fest, es entstehe «der Gesamteindruck eines uneinsichtigen, hartnäckigen Wiederholungstäters, der die zahlreichen ihm eingeräumten Chancen nicht genutzt hat und bei welchem sämtliche in einem Rechtsstaat zur Verfügung stehenden Sanktionen wirkungslos erscheinen» (Urteil 2C_270/2017 E. 3.3).</w:t>
      </w:r>
    </w:p>
    <w:p>
      <w:r>
        <w:rPr>
          <w:b/>
        </w:rPr>
        <w:t>E. 5.5</w:t>
      </w:r>
    </w:p>
    <w:p>
      <w:r>
        <w:t>Soweit der Beschwerdeführer in seiner Rechtsmitteleingabe geltend macht, dass die Drogendelinquenz zwischen September 2013 und Januar 2014 erfolgt sei und er seither vollständig deliktsfrei lebe, ist darauf hinzuweisen, dass für die Beurteilung der Dauer des klaglosen Verhaltens nicht auf den Begehungs- oder Urteilszeitpunkt abzustellen ist. Von vorrangiger Bedeutung ist vielmehr, wie lange sich eine straffällig gewordene Person nach ihrer Entlassung aus der Haft in Freiheit bewährt hat (vgl. hierzu BGE 130 II 176 E. 4.3.3; BVGE 2014/20 E. 5.4 m.H.; Urteil des BVGer F-7209/2016 E. 7.7). Gemäss Vollzugsauftrag vom 4. September 2015 befand sich der Beschwerdeführer bis zum 29. März 2016 in Haft. Danach hielt er sich noch bis zu seiner erzwungenen Ausreise am 28. Februar 2018 in der Schweiz in Freiheit auf. In dieser Zeit wurden zwar keine Straftaten mehr aktenkundig (vgl. zur zuletzt aktenkundigen Straftat im August 2014 AG-act. 443 f.). Dieses Wohlverhalten ist indessen insofern zu relativieren, als es zeitlich relativ kurz ausfiel und dem Beschwerdeführer mit Urteil vom 7. Mai 2015 eine vierjährige Probezeit auferlegt worden war (AG-act. 451). Einem Wohlverhalten während laufender Probezeit wird aus ausländerrechtlicher Sicht nur untergeordnete Bedeutung beigemessen (Urteile des BVGer F-2708/2017 vom 5. Dezember 2019 E. 5.3; F-1476/2018 vom 31. Oktober 2018 E. 7.3; F-3450/2016 vom 17. September 2018 E. 6.7). Nach dem Ende des Strafvollzugs stand der Beschwerdeführer zudem unter dem Eindruck des laufenden Verfahrens auf Widerruf seiner Niederlassungsbewilligung. Letztinstanzlich entschied das Bundesgericht erst am 30. November 2017 darüber. Zeitablauf und Wohlverhalten seit der letzten Tat sind vorliegend deshalb keine Elemente, welche verlässlich und wesentlich die Gefährdungsprognose zu Gunsten des Beschwerdeführers zu beeinflussen vermögen. Über sein anschliessendes Wohlverhalten im Ausland ist nichts aktenkundig.</w:t>
      </w:r>
    </w:p>
    <w:p>
      <w:r>
        <w:rPr>
          <w:b/>
        </w:rPr>
        <w:t>E. 5.6</w:t>
      </w:r>
    </w:p>
    <w:p>
      <w:r>
        <w:t>Der Einwand des Beschwerdeführers, wonach er nie jemanden gefährdet habe oder tätlich geworden sei, ist aktenwidrig. Durch sein Betäubungsmitteldelikt gefährdete er abstrakt die Gesundheit einer unbestimmten Vielzahl von Menschen (vgl. Urteil des BGer 2C_884/2016 vom 25. August 2017 E. 3.3.1 m.H). Zudem erwirkte er im Januar 2004 einen Strafbefehl wegen Tätlichkeit, nachdem er einem Jogger einen Fausthieb versetzt hatte (vgl. AG-act. 59 f.).</w:t>
      </w:r>
    </w:p>
    <w:p>
      <w:r>
        <w:rPr>
          <w:b/>
        </w:rPr>
        <w:t>E. 5.7</w:t>
      </w:r>
    </w:p>
    <w:p>
      <w:r>
        <w:t>Es ist demnach nicht zu beanstanden, wenn die Vorinstanz in der angefochtenen Verfügung beim Beschwerdeführer von einer schwerwiegenden Gefahr für die öffentliche Sicherheit und Ordnung im Sinne von Art. 67 Abs. 3 zweiter Satz AIG ausging. Sie war folglich an die gesetzliche Maximalfrist von fünf Jahren nicht gebunden.</w:t>
      </w:r>
    </w:p>
    <w:p>
      <w:r>
        <w:rPr>
          <w:b/>
        </w:rPr>
        <w:t>E. 6.1</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(Art. 5 Abs. 2 BV, Art. 96 AIG; BGE 139 II 121 6.5.1; BVGE 2017 VII/2 E. 4.5; 2016/33 E. 9; 2014/20 E. 8.1).</w:t>
      </w:r>
    </w:p>
    <w:p>
      <w:r>
        <w:rPr>
          <w:b/>
        </w:rPr>
        <w:t>E. 6.2</w:t>
      </w:r>
    </w:p>
    <w:p>
      <w:r>
        <w:t>Vom Beschwerdeführer geht eine schwerwiegende Gefahr für die öffentliche Sicherheit und Ordnung aus. Darauf wurde unter dem Gesichtspunkt der Eingriffsvoraussetzungen ausführlich eingegangen, sodass an dieser Stelle auf Wiederholungen verzichtet werden kann. Jenes Mass an Gefährlichkeit, das die volle Ausschöpfung der rechtsprechungsgemässen Maximaldauer eines Einreiseverbots rechtfertigen könnte, offenbarte sein Verhalten jedoch gleichwohl nicht. Dabei gilt zu berücksichtigen, dass sich die grosse Mehrheit der von ihm begangenen Taten nicht gegen besonders hochwertige Rechtsgüter richtete. Zugunsten des Beschwerdeführers spricht in diesem Zusammenhang auch, dass er seit August 2014 deliktsfrei blieb. Zudem dürfte sich seine Ehe und Vaterschaft, die er inzwischen in Bosnien und Herzegowina lebt, stabilisierend auf seine Verhältnisse auswirken. Alles in allem besteht ein zwar erhebliches öffentliches Interesse an einer langfristigen Fernhaltung des Beschwerdeführers. Dieses ist jedoch nicht so dominant, dass sich ihm jedes private Interesse unterordnen müsste.</w:t>
      </w:r>
    </w:p>
    <w:p>
      <w:r>
        <w:rPr>
          <w:b/>
        </w:rPr>
        <w:t>E. 6.3</w:t>
      </w:r>
    </w:p>
    <w:p>
      <w:r>
        <w:t>Zur Illustration entgegenstehender privater Interessen verwies der Beschwerdeführer in seinen Rechtsschriften vor allem auf seine familiäre Situation, aber auch auf seine Verbundenheit zur Schweiz in sozialer und beruflicher Hinsicht aufgrund seines langjährigen Voraufenthalts hierzulande. Im Zeitpunkt der Beschwerdeanhebung argumentierte er noch, seine schweizerische Ehefrau und die beiden noch kleinen Kinder (geboren 2014 beziehungsweise 2017) würden nach seiner Ausreise in der Schweiz wohnhaft bleiben. Die Kinder müssten wegen des Einreiseverbots während Jahren ohne ihren Vater aufwachsen. Ein neunjähriges Einreiseverbot sei vor diesem Hintergrund nicht verhältnismässig und verletze den Anspruch auf Achtung des Familienlebens gemäss Art. 8 EMRK (BVGer-act. 1 Ziff. 3 und 4).</w:t>
      </w:r>
    </w:p>
    <w:p>
      <w:r>
        <w:rPr>
          <w:b/>
        </w:rPr>
        <w:t>E. 6.3.1</w:t>
      </w:r>
    </w:p>
    <w:p>
      <w:r>
        <w:t>Dazu ist vorweg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w:t>
      </w:r>
    </w:p>
    <w:p>
      <w:r>
        <w:rPr>
          <w:b/>
        </w:rPr>
        <w:t>E. 6.3.2</w:t>
      </w:r>
    </w:p>
    <w:p>
      <w:r>
        <w:t>Tritt hinzu, dass das Bundesgericht im mehrfach erwähnten Urteil 2C_270/2017 vom 30. November 2017 (E. 3.6) - gestützt auf gleichartige Einwände des Beschwerdeführers - den langen Voraufenthalt in der Schweiz und eine Trennung von der Familie unter dem Aspekt des verfassungs- und konventionsrechtlich geschützten Anspruchs auf Privat- und Familienleben prüfte und als nicht entscheidend erachtete. Im Übrigen präsentiert sich die familiäre Situation des Beschwerdeführers in der Zwischenzeit insofern wesentlich anders, als Ehefrau und Kinder nach Bosnien und Herzegowina gezogen sind und dort mit ihm in familiärer Einheit zusammenleben. Damit ist der Aspekt der Familieneinheit nicht mehr tangiert.</w:t>
      </w:r>
    </w:p>
    <w:p>
      <w:r>
        <w:rPr>
          <w:b/>
        </w:rPr>
        <w:t>E. 6.3.3</w:t>
      </w:r>
    </w:p>
    <w:p>
      <w:r>
        <w:t>Eine allfällige neue Aufenthaltsbewilligung für den Beschwerdeführer ist nicht Gegenstand des vorliegenden Verfahrens. Hierfür ist der Kanton zuständig, wobei das Einreiseverbot im Falle einer Bewilligungserteilung aufzuheben wäre (vgl. BVGE 2013/4 E. 7.4.1 m.H.). Auf diese Möglichkeit und die dafür bestehenden (insbesondere zeitlichen) Voraussetzungen hat im Übrigen auch das Bundesgericht den Beschwerdeführer im mehrfach zitierten Urteil hingewiesen (Urteil 2C_270/2017 E. 3.7).</w:t>
      </w:r>
    </w:p>
    <w:p>
      <w:r>
        <w:rPr>
          <w:b/>
        </w:rPr>
        <w:t>E. 6.3.4</w:t>
      </w:r>
    </w:p>
    <w:p>
      <w:r>
        <w:t>Nach dem Gesagten stellt sich im Folgenden einzig die Frage, ob die über die Verweigerung des Aufenthaltsrechts hinausgehende, durch das Einreiseverbot zusätzlich bewirkte Beeinträchtigung des Privat- und Familienlebens einer rechtlichen Prüfung standhält. Als ausländische Person ohne Aufenthaltsbewilligung dürfte sich der Beschwerdeführer ohne Einreiseverbot nur im Rahmen von bewilligungsfreien Kurzaufenthalten in der Schweiz aufhalten. Der mit dem Einreiseverbot verbundene zusätzliche Malus besteht nicht darin, dass dem Beschwerdeführer jede Einreise in die Schweiz schlichtweg untersagt ist, sondern darin, dass er für bewilligungsfreie Kurzaufenthalte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beziehungsweise auf andere Weise als durch persönliche Treffen werden durch die Massnahme nicht beeinträchtigt (vgl. zum Ganzen BVGE 2014/20 E. 8.3.4 m.H.).</w:t>
      </w:r>
    </w:p>
    <w:p>
      <w:r>
        <w:rPr>
          <w:b/>
        </w:rPr>
        <w:t>E. 6.3.5</w:t>
      </w:r>
    </w:p>
    <w:p>
      <w:r>
        <w:t>Andererseits ist nicht in Frage zu stellen, dass sich das Zentrum der Lebensinteressen des Beschwerdeführers in der Schweiz befindet beziehungsweise befand. Hier hat er seit seiner frühesten Kindheit bis zu seiner erzwungenen Ausreise im Februar 2018 während mehr als 34 Jahren ununterbrochen gelebt, seine schulische Ausbildung und Lehre durchlaufen und eine Erwerbstätigkeit aufgenommen. Hier leben seine Eltern und sein Bruder und hier befinden sich seine sozialen Wurzeln. Dass der Beschwerdeführer eine Landessprache beherrscht, ist nicht zu bezweifeln. Ebenso ist nicht zweifelhaft, dass er in der Schweiz einen Freundes- und Bekanntenkreis unterhielt und dass er hier vor seiner erzwungenen Ausreise beruflich integriert war. Das alles und die bestehende Ehe mit einer Schweizer Bürgerin gilt es bei der Interessenabwägung mitzuberücksichtigen. Allerdings weist sein Legalverhalten, ein wesentliches Element der Integration, massivste Defizite auf. Darauf wurde bereits weiter oben ausführlich eingegangen.</w:t>
      </w:r>
    </w:p>
    <w:p>
      <w:r>
        <w:rPr>
          <w:b/>
        </w:rPr>
        <w:t>E. 6.4</w:t>
      </w:r>
    </w:p>
    <w:p>
      <w:r>
        <w:t>Trotz der vorerwähnten Einschränkungen und Relativierungen verkennt das Bundesverwaltungsgericht nicht, dass das dem Einreiseverbot eigene besondere Kontrollregime den mit der Schweiz vielfach verbundenen Beschwerdeführer erheblich trifft. Auf der anderen Seite wurde weiter oben dargelegt, dass der Beschwerdeführer nicht eine Gefährlichkeit an den Tag legt, welche die Ausschöpfung der rechtsprechungsgemässen Maximaldauer eines Einreiseverbots rechtfertigen könnte. In Beachtung aller relevanter Faktoren und im Rahmen einer wertenden Gewichtung der sich entgegenstehenden öffentlichen und privaten Interessen, aber auch in Berücksichtigung vergleichbarer Fälle gelangt das Bundesverwaltungsgericht zum Schluss, dass das gegen den Beschwerdeführer verhängte neunjährige Einreiseverbot sowohl dem Grundsatz nach wie auch in seiner Dauer eine verhältnismässige und angemessene Massnahme darstellt (vgl. dazu Urteile des BVGer F-1301/2017 vom 5. September 2018; F-3374/2016 vom 18. Juni 2018; F-4314/2015 vom 17. Oktober 2017; F-5121/2015 vom 25. Juli 2017; F-4949/2015 vom 30. Mai 2017).</w:t>
      </w:r>
    </w:p>
    <w:p>
      <w:r>
        <w:rPr>
          <w:b/>
        </w:rPr>
        <w:t>E. 7</w:t>
      </w:r>
    </w:p>
    <w:p>
      <w:r>
        <w:t>Die Vorinstanz hat in der angefochtenen Verfügung die Ausschreibung des Einreiseverbots im SIS II angeordnet. Der Beschwerdeführer beantragt eventualiter deren Aufhebung; dies mit der Begründung, er habe ausserhalb der Schweiz keine Straftaten begangen.</w:t>
      </w:r>
    </w:p>
    <w:p>
      <w:r>
        <w:rPr>
          <w:b/>
        </w:rPr>
        <w:t>E. 7.1</w:t>
      </w:r>
    </w:p>
    <w:p>
      <w:r>
        <w:t>Der Beschwerdeführer kann als Drittstaatsangehöriger grundsätzlich zur Einreise- bzw. Aufenthaltsverweigerung im SIS II ausgeschrieben werden. Die vom Beschwerdeführer zu verantwortenden Straftaten erfüllen ferner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beschränken muss,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7.2</w:t>
      </w:r>
    </w:p>
    <w:p>
      <w:r>
        <w:t>Es bleibt den Schengen-Staaten im Übrigen unbenommen, einer ausgeschriebenen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8</w:t>
      </w:r>
    </w:p>
    <w:p>
      <w:r>
        <w:t>Aus den vorstehenden Erwägungen ergibt sich, dass das auf neun Jahre befristete Einreiseverbot und dessen Ausschreibung im SIS II im Lichte von Art. 49 VwVG nicht zu beanstanden sind. Die Beschwerde ist demzufolge abzuweisen.</w:t>
      </w:r>
    </w:p>
    <w:p>
      <w:r>
        <w:rPr>
          <w:b/>
        </w:rPr>
        <w:t>E. 9</w:t>
      </w:r>
    </w:p>
    <w:p>
      <w:r>
        <w:t>Bei diesem Ausgang des Verfahrens sind die Verfahrenskosten dem Beschwerdeführer aufzuerlegen (Art. 63 Abs. 1 VwVG). Diese sind in Anwendung von Art. 1 ff. des Reglements vom 21. Februar 2008 über die Kosten und Entschädigungen vor dem Bundesverwaltungsgericht (VGKE, SR 173.320.2) auf Fr. 1'100.- festzusetzen. Eine Parteientschädigung ist nicht zuzusprechen (Art. 64 Abs. 1 VwVG).</w:t>
      </w:r>
    </w:p>
    <w:p>
      <w:r>
        <w:rPr>
          <w:b/>
        </w:rPr>
        <w:t>E. 10</w:t>
      </w:r>
    </w:p>
    <w:p>
      <w:r>
        <w:t>Das Bundesverwaltungsgericht entscheidet in der vorliegenden Sache endgültig (vgl.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