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F-1390/2026 vom 2. März 2026</w:t>
      </w:r>
    </w:p>
    <w:p>
      <w:r>
        <w:t>Bundesverwaltungsgericht, 2026-03-02, DE</w:t>
      </w:r>
    </w:p>
    <w:p>
      <w:r>
        <w:rPr>
          <w:b/>
        </w:rPr>
        <w:t xml:space="preserve">Quelle: </w:t>
      </w:r>
      <w:r>
        <w:t>https://mcp.opencaselaw.ch/entscheid/bvger_F-1390_2026</w:t>
      </w:r>
    </w:p>
    <w:p>
      <w:r>
        <w:t>FR: TAF F-1390/2026 du 2 mars 2026</w:t>
      </w:r>
    </w:p>
    <w:p>
      <w:r>
        <w:t>IT: TAF F-1390/2026 del 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 unter Vorbehalt von E. 1.2 - einzutreten ist (Art. 48 Abs. 1 VwVG, Art. 108 Abs. 3 AsylG und Art. 52 Abs. 1 VwVG).</w:t>
      </w:r>
    </w:p>
    <w:p>
      <w:r>
        <w:rPr>
          <w:b/>
        </w:rPr>
        <w:t>E. 1.2</w:t>
      </w:r>
    </w:p>
    <w:p>
      <w:r>
        <w:t>Streitgegenstand kann nur sein, was bereits Gegenstand des ange-fochtenen Entscheids war oder allenfalls hätte sein müssen und zwischen den Parteien noch strittig ist. Im Laufe eines Rechtsmittelverfahrens kann sich der Streitgegenstand grundsätzlich nicht erweitern oder inhaltlich ver-ändern (vgl. BGE 144 II 359 E. 4.3; 142 I 155 E. 4.4.2; 136 II 457 E. 4.2; BVGE 2018 V/3 E. 3.1; je m.w.H.). Die Anerkennung der Flüchtlingseigen-schaft, die Gewährung von Asyl sowie subsidiär der vorläufigen Aufnahme bildeten nicht Teil der angefochtenen Verfügung und hätten darin auch nicht geprüft werden müssen, weshalb sie nicht Gegenstand des vorliegenden Beschwerdeverfahrens sein können. Auf die entsprechenden Rechtsbegehren ist nicht einzutreten. Aus der Rechtsmitteleingabe des nicht vertretenen Beschwerdeführers geht jedoch hervor, dass er darum ersucht, von einer Überstellung nach Österreich abzusehen und das Asylverfahren in der Schweiz durchzuführen. Dabei handelt es sich um zulässige Rechtsbegehren, weshalb auf die Beschwerde insofern einzutreten ist.</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Vorinstanz hat korrekt erwogen, dass gemäss Art. 18 Abs. 1 Bst. b Dublin-III-VO grundsätzlich Österreich für die Behandlung des Asylgesuchs des Beschwerdeführers zuständig ist, dass das österreichische Asylsystem rechtsprechungsgemäss keine systemischen Schwachstellen aufweist, aufgrund derer die Zuständigkeit gemäss Art. 3 Abs. 2 Dublin-III-VO auf die Schweiz überginge (vgl. zuletzt statt vieler Urteil des BVGer F-8562/2025 vom 12. November 2025 E. 2.1), und dass vorliegend keine völkerrechtlichen Vollzugshindernisse ersichtlich sind, welche die Schweiz zu einem Selbsteintritt nach Art. 17 Abs. 1 Dublin-III-VO verpflichten würden. Dabei stellte die Vorinstanz zu Recht fest, der Beschwerdeführer habe einen über dreimonatigen Aufenthalt ausserhalb des Dublin-Raums nicht rechtsgenüglich dargetan, womit die Zuständigkeit Österreichs für die Durchführung seines Asyl- und Wegweisungsverfahrens nicht im Sinn von Art. 19 Abs. 2 Dublin-III-VO erloschen sei. Darüber hinaus hat sie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Österreich angeordnet. Zur näheren Begründung ist auf die ausführlichen Erwägungen der Vorinstanz zu verweisen.</w:t>
      </w:r>
    </w:p>
    <w:p>
      <w:r>
        <w:rPr>
          <w:b/>
        </w:rPr>
        <w:t>E. 3.2</w:t>
      </w:r>
    </w:p>
    <w:p>
      <w:r>
        <w:t>Die Vorbringen auf Beschwerdeebene vermögen an der Richtigkeit der angefochtenen Verfügung nichts zu ändern. Die Ausführungen des Beschwerdeführers, die Beschaffung von Beweismitteln zum Nachweis seines über dreimonatigen Aufenthalts ausserhalb des Dublin-Raums sei wegen angeblicher Bedrohung in der Türkei nicht möglich beziehungsweise er benötige mehr Zeit dafür, sind als reine Schutzbehauptungen zu werten. Weiterungen zur angeblichen Bedrohungslage in der Türkei erübrigen sich, zumal Asylgründe nicht Gegenstand eines Dublin-Verfahrens sein können (siehe E. 1.2 hiervor). Soweit der Beschwerdeführer unter Hinweis auf familiäre Beziehungen in der Schweiz eine Verletzung von Art. 8 EMRK geltend macht, ist festzustellen, dass seine in der Schweiz lebenden Verwandten weder zur Kernfamilie gehören (vgl. dazu BGE 144 I 266 E. 3.3; 144 II 1 E. 6.1; Urteil des BGer 2C_25/2025 vom 4. Februar 2025 E. 4.4; je m.w.H.) noch ein besonderes Abhängigkeitsverhältnis im Sinn der Rechtsprechung zu Art. 8 EMRK (vgl. dazu BGE 147 I 268 E. 1.2.3; 144 II 1 E. 6.1; Urteil des BGer 2C_323/2024 vom 14. April 2025 E. 4.1; je m.w.H.), dargetan oder ersichtlich ist, womit die Rüge unbegründet ist. Die vorgebrachten gesundheitlichen Probleme (chronische Hepatitis-B-Virusinfektion, kardiologische und psychische Beschwerden) sind nicht derart gravierend, dass gestützt auf Art. 3 EMRK von einer Überstellung nach Österreich abgesehen werden müsste (vgl. dazu Urteil des EGMR Paposhvili gegen Belgien vom 13. Dezember 2016, Grosse Kammer, 41738/10, §§ 180-193 m.w.H., bestätigt durch Urteil des EGMR Savran gegen Dänemark 7. Dezember 2021, Grosse Kammer, Nr. 57467/15, §§ 121 ff.). Im Übrigen verfügt Österreich zweifellos über eine ausreichende medizinische Infrastruktur für deren Behandlung (vgl. zuletzt Urteil des BVGer F-8562/2025 vom 12. November 2025 E. 2.2 m.w.H.). Die Dublin-III-VO räumt den Antragstellenden denn auch kein Recht ein, den für eine medizinische Behandlung bestgeeignetsten Staat frei zu wählen (vgl. BVGE 2017 VI/7 E. 6.2; Urteil des BVGer F-4406/2024 vom 18. Juli 2024 E. 6.9 m.w.H.).</w:t>
      </w:r>
    </w:p>
    <w:p>
      <w:r>
        <w:rPr>
          <w:b/>
        </w:rPr>
        <w:t>E. 4</w:t>
      </w:r>
    </w:p>
    <w:p>
      <w:r>
        <w:t>Im Ergebnis ist die angefochtene Verfügung rechtmässig (Art. 106 AsylG). Die Beschwerde ist abzuweisen, soweit darauf einzutreten ist. Mit dem vorliegenden Urteil fällt der angeordnete Vollzugsstopp dahin. Der Eventualantrag auf Wiederherstellung der aufschiebenden Wirkung der Beschwerde ist mit heutigem Entscheid gegenstandslos geworden.</w:t>
      </w:r>
    </w:p>
    <w:p>
      <w:r>
        <w:rPr>
          <w:b/>
        </w:rPr>
        <w:t>E. 5</w:t>
      </w:r>
    </w:p>
    <w:p>
      <w:r>
        <w:t>Die Begehren waren - wie gezeigt - von vornherein aussichtslos, weshalb die Gesuche um unentgeltliche Prozessführung (Art. 65 Abs. 1 VwVG) und amtliche Verbeiständung (Art. 102m Abs. 1 Bst. a AsylG) abzuweisen sind. Die Verfahrenskosten sind dem unterliegenden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