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F-136/2024 vom 10. Juni 2024</w:t>
      </w:r>
    </w:p>
    <w:p>
      <w:r>
        <w:t>Bundesverwaltungsgericht, 2024-06-10, DE</w:t>
      </w:r>
    </w:p>
    <w:p>
      <w:r>
        <w:rPr>
          <w:b/>
        </w:rPr>
        <w:t xml:space="preserve">Quelle: </w:t>
      </w:r>
      <w:r>
        <w:t>https://mcp.opencaselaw.ch/entscheid/bvger_F-136_2024</w:t>
      </w:r>
    </w:p>
    <w:p>
      <w:r>
        <w:t>FR: TAF F-136/2024 du 10 juin 2024</w:t>
      </w:r>
    </w:p>
    <w:p>
      <w:r>
        <w:t>IT: TAF F-136/2024 del 10 giugno 2024</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w:t>
      </w:r>
    </w:p>
    <w:p>
      <w:r>
        <w:t>F-136/2024 Seite 3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einzutreten ist.</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Nach Art. 67 Abs. 1 Bst. a AIG verfügt das SEM unter Vorbehalt von Absatz 5 derselben Bestimmung Einreiseverbote gegenüber weggewiese- nen Ausländerinnen und Ausländern, wenn die Wegweisung nach Art. 64d Abs. 2 Bst. a-c AIG sofort vollstreckbar ist.</w:t>
      </w:r>
    </w:p>
    <w:p>
      <w:r>
        <w:rPr>
          <w:b/>
        </w:rPr>
        <w:t>E. 3.2</w:t>
      </w:r>
    </w:p>
    <w:p>
      <w:r>
        <w:t>Weiter verfügt das SEM gemäss Art. 67 Abs. 1 Bst. c AIG unter Vorbe- halt von Abs. 5 derselben Bestimmung ein Einreiseverbot gegenüber aus- ländischen Personen, die gegen die öffentliche Sicherheit und Ordnung in der Schweiz oder im Ausland verstossen haben oder diese gefährden.</w:t>
      </w:r>
    </w:p>
    <w:p>
      <w:r>
        <w:rPr>
          <w:b/>
        </w:rPr>
        <w:t>E. 3.3</w:t>
      </w:r>
    </w:p>
    <w:p>
      <w:r>
        <w:t>Das Einreiseverbot wird für eine Dauer von höchstens fünf Jahren ver- fügt. Es kann für eine längere Dauer verfügt werden, wenn die betroffene</w:t>
      </w:r>
    </w:p>
    <w:p>
      <w:r>
        <w:t>F-136/2024 Seite 4 Person eine schwerwiegende Gefahr für die öffentliche Sicherheit und Ord- nung darstellt (Art. 67 Abs. 3 AIG).</w:t>
      </w:r>
    </w:p>
    <w:p>
      <w:r>
        <w:rPr>
          <w:b/>
        </w:rPr>
        <w:t>E. 3.4</w:t>
      </w:r>
    </w:p>
    <w:p>
      <w:r>
        <w:t>Ein Verstoss gegen die öffentliche Sicherheit und Ordnung liegt insbe- sondere vor bei einer Missachtung von gesetzlichen Vorschriften oder be- 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3.5</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verrichtet, wenn sie ihrer Art und ihrem Umfang nach auf dem schweizerischen Arbeits- und Dienstleistungsmarkt angebo- ten wird (vgl. Urteil des BVGer F-2128/2022 vom 28. November 2022 E. 6.2; EGLI/MEYER, in: Caroni et al. [Hrsg.], Handkommentar zum Bundes- gesetz über die Ausländerinnen und Ausländer, 2010, Art. 11 N. 6). Ohne Belang für die Qualifikation als Erwerbstätigkeit ist dabei, ob die Beschäf- tigung nur stunden- oder tageweise oder vorübergehend ausgeübt wird (vgl. Art. 1a und 2 VZAE). Nach ständiger Rechtsprechung des Bundesver- waltungsgerichts ist lediglich dort keine Erwerbstätigkeit im rechtstechni- schen Sinne anzunehmen, wo Arbeitsleistungen ausserhalb des geschäft- lichen Bereichs eines Begünstigten durch nahe Angehörige vorgenommen werden, wobei massgeblich ist, dass dieser Tätigkeit gerade wegen der verwandtschaftlichen und emotionalen Nähe des Leistungserbringers zum Begünstigten ein besonderer Charakter zukommt, der nicht durch beliebige Dritte ersetzt werden kann. Arbeitsleistungen im gewerblichen Bereich da- gegen sind grundsätzlich als Erwerbstätigkeit zu qualifizieren, es sei denn, es komme ihnen eine völlig untergeordnete Bedeutung zu (vgl. Urteil des BVGer F-506/2021 vom 24. November 2021 E. 5.2 m.H.).</w:t>
      </w:r>
    </w:p>
    <w:p>
      <w:r>
        <w:t>F-136/2024 Seite 5</w:t>
      </w:r>
    </w:p>
    <w:p>
      <w:r>
        <w:rPr>
          <w:b/>
        </w:rPr>
        <w:t>E. 3.6</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3.7</w:t>
      </w:r>
    </w:p>
    <w:p>
      <w:r>
        <w:t>Aus humanitären oder anderen wichtigen Gründen kann ausnahms- weise von der Verhängung eines Einreiseverbots abgesehen oder ein Ein- reiseverbot aufgehoben oder suspendiert werden. Dabei sind namentlich die Gründe, die zum Einreiseverbot führen würden beziehungsweise ge- führt haben, sowie der Schutz der öffentlichen Sicherheit und Ordnung und die Wahrung der inneren oder äusseren Sicherheit der Schweiz gegenüber den privaten Interessen der betroffenen Person an einer Aufhebung abzu- wägen (vgl. Art. 67 Abs. 5 AIG). 4. 4.1 Die Vorinstanz begründete das Einreiseverbot damit, dass der Be- schwerdeführer in der Schweiz ohne Bewilligung einer Erwerbstätigkeit nachgegangen sei. Dabei stützte sie sich auf den dem Strafbefehlsverfah- ren zugrunde gelegten Sachverhalt, wonach der Beschwerdeführer auf ei- ner Baustelle gearbeitet habe. Zudem sei er von der zuständigen Behörde gemäss Art. 64d AIG (recte: gemäss Art. 64d Abs. 2 erste Variante) weg- gewiesen worden, so dass die Wegweisung sofort zu vollstrecken sei, wes- halb auch gemäss Art. 67 Abs. 1 Bst. a AIG eine Fernhaltemassnahme an- zuordnen sei. 4.2 Der Beschwerdeführer wandte einzig ein, einen gültigen kosovarischen Pass und eine gültige slowenische Aufenthaltsbewilligung zu besitzen. 5. 5.1 Gemäss Aktenlage wurde der Beschwerdeführer am 1. Dezember 2023 in feuchter Baustellenkleidung (einschliesslich entsprechender</w:t>
      </w:r>
    </w:p>
    <w:p>
      <w:r>
        <w:t>F-136/2024 Seite 6 Schuhe) angetroffen. Im Strafverfahren gab er an, dass er die Baustellen- kleidung nur zum Spass angezogen habe. Der kantonalen Staatsanwalt- schaft ist bei der Qualifizierung dieser Aussage als Schutzbehauptung zu- zustimmen. Zu beachten ist ferner, dass der Beschwerdeführer nach eige- nen Angaben in Slowenien als Maurer tätig ist, was die Plausibilität einer illegalen Erwerbstätigkeit als Bauarbeiter zusätzlich erhöht. Zu seinen Un- gunsten zu berücksichtigen ist ferner, dass er gegen den Strafbefehl vom 26. März 2024 keine Einsprache erhob und sich auch im vorliegenden Ver- fahren nicht zum Vorwurf der Erwerbstätigkeit ohne Bewilligung äusserte. Folglich ist davon auszugehen, dass der Beschwerdeführer in der Zeit zwi- schen seiner Ankunft in der Schweiz (nach eigenen Angaben Ende Novem- ber 2023) und seiner Anhaltung am 1. Dezember 2023 auf einer Baustelle arbeitete. 5.2 Nach dem Gesagten ist festzuhalten, dass der Beschwerdeführer im beschriebenen Umfang einer Erwerbstätigkeit im Sinne von Art. 11 Abs. 2 AIG nachgegangen ist. Da er die Tätigkeit ohne die erforderliche Bewilli- gung ausübte, verstiess er gegen die öffentliche Sicherheit und Ordnung. Der Tatbestand von Art. 67 Abs. 1 Bst. c AIG ist erfüllt, weshalb die Voraus- setzungen für den Erlass eines Einreiseverbots gegeben sind. 5.3 Da die gegen den Beschwerdeführer verfügte Wegweisung vom 2. De- zember 2023 sofort vollstreckbar war, ist auch Art. 67 Abs. 1 Bst. a AIG erfüllt.</w:t>
      </w:r>
    </w:p>
    <w:p>
      <w:r>
        <w:rPr>
          <w:b/>
        </w:rPr>
        <w:t>E. 4.1</w:t>
      </w:r>
    </w:p>
    <w:p>
      <w:r>
        <w:t>Die Vorinstanz begründete das Einreiseverbot damit, dass der Beschwerdeführer in der Schweiz ohne Bewilligung einer Erwerbstätigkeit nachgegangen sei. Dabei stützte sie sich auf den dem Strafbefehlsverfahren zugrunde gelegten Sachverhalt, wonach der Beschwerdeführer auf einer Baustelle gearbeitet habe. Zudem sei er von der zuständigen Behörde gemäss Art. 64d AIG (recte: gemäss Art. 64d Abs. 2 erste Variante) weggewiesen worden, so dass die Wegweisung sofort zu vollstrecken sei, weshalb auch gemäss Art. 67 Abs. 1 Bst. a AIG eine Fernhaltemassnahme anzuordnen sei.</w:t>
      </w:r>
    </w:p>
    <w:p>
      <w:r>
        <w:rPr>
          <w:b/>
        </w:rPr>
        <w:t>E. 4.2</w:t>
      </w:r>
    </w:p>
    <w:p>
      <w:r>
        <w:t>Der Beschwerdeführer wandte einzig ein, einen gültigen kosovarischen Pass und eine gültige slowenische Aufenthaltsbewilligung zu besitzen.</w:t>
      </w:r>
    </w:p>
    <w:p>
      <w:r>
        <w:rPr>
          <w:b/>
        </w:rPr>
        <w:t>E. 5.1</w:t>
      </w:r>
    </w:p>
    <w:p>
      <w:r>
        <w:t>Gemäss Aktenlage wurde der Beschwerdeführer am 1. Dezember 2023 in feuchter Baustellenkleidung (einschliesslich entsprechender Schuhe) angetroffen. Im Strafverfahren gab er an, dass er die Baustellenkleidung nur zum Spass angezogen habe. Der kantonalen Staatsanwaltschaft ist bei der Qualifizierung dieser Aussage als Schutzbehauptung zuzustimmen. Zu beachten ist ferner, dass der Beschwerdeführer nach eigenen Angaben in Slowenien als Maurer tätig ist, was die Plausibilität einer illegalen Erwerbstätigkeit als Bauarbeiter zusätzlich erhöht. Zu seinen Ungunsten zu berücksichtigen ist ferner, dass er gegen den Strafbefehl vom 26. März 2024 keine Einsprache erhob und sich auch im vorliegenden Verfahren nicht zum Vorwurf der Erwerbstätigkeit ohne Bewilligung äusserte. Folglich ist davon auszugehen, dass der Beschwerdeführer in der Zeit zwischen seiner Ankunft in der Schweiz (nach eigenen Angaben Ende November 2023) und seiner Anhaltung am 1. Dezember 2023 auf einer Baustelle arbeitete.</w:t>
      </w:r>
    </w:p>
    <w:p>
      <w:r>
        <w:rPr>
          <w:b/>
        </w:rPr>
        <w:t>E. 5.2</w:t>
      </w:r>
    </w:p>
    <w:p>
      <w:r>
        <w:t>Nach dem Gesagten ist festzuhalten, dass der Beschwerdeführer im beschriebenen Umfang einer Erwerbstätigkeit im Sinne von Art. 11 Abs. 2 AIG nachgegangen ist. Da er die Tätigkeit ohne die erforderliche Bewilligung ausübte, verstiess er gegen die öffentliche Sicherheit und Ordnung. Der Tatbestand von Art. 67 Abs. 1 Bst. c AIG ist erfüllt, weshalb die Voraussetzungen für den Erlass eines Einreiseverbots gegeben sind.</w:t>
      </w:r>
    </w:p>
    <w:p>
      <w:r>
        <w:rPr>
          <w:b/>
        </w:rPr>
        <w:t>E. 5.3</w:t>
      </w:r>
    </w:p>
    <w:p>
      <w:r>
        <w:t>Da die gegen den Beschwerdeführer verfügte Wegweisung vom 2. Dezember 2023 sofort vollstreckbar war, ist auch Art. 67 Abs. 1 Bst. a AIG erfüllt.</w:t>
      </w:r>
    </w:p>
    <w:p>
      <w:r>
        <w:rPr>
          <w:b/>
        </w:rPr>
        <w:t>E. 6</w:t>
      </w:r>
    </w:p>
    <w:p>
      <w:r>
        <w:t>März 2023 E. 4.3 m.H.).</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verstiess, wie festgestellt, durch Erwerbstätig- keit ohne Bewilligung in der Schweiz gegen die öffentliche Sicherheit und Ordnung im Sinne von Art. 67 Abs. 1 Bst. b AIG. Dieses Fehlverhalten wiegt</w:t>
      </w:r>
    </w:p>
    <w:p>
      <w:r>
        <w:t>F-136/2024 Seite 7 objektiv nicht leicht, kommt doch den ausländerrechtlichen Normen im Zu- sammenhang mit Einreise, Aufenthalt und Aufnahme einer Erwerbstätigkeit grundsätzlich eine zentrale Bedeutung zu, wenn es darum geht, eine funk- tionierende Rechtsordnung zu gewährleisten (BVGE 2016/33 E. 4.3; 2014/20 E. 8.2; statt vieler: Urteil des BVGer F-1934/2022 vom 6. März 2023 E. 7.2). Diesbezüglich ist darauf hinzuweisen, dass die Anordnung des Einreiseverbots gegen den Beschwerdeführer bereits aus spezialprä- ventiven Gründen angezeigt ist, um ihn bei künftigen Aufenthalten in der Schweiz von der erneuten Gefährdung der öffentlichen Sicherheit und Ord- nung abzuhalten. Zu berücksichtigen ist zudem das generalpräventiv mo- tivierte Interesse, die öffentliche Ordnung durch eine konsequente Mass- nahmenpraxis zu schützen (vgl. Urteil des BGer 2C_282/2012 vom 31. Juli 2012 E. 2.5 m.H.). So soll ein Einreiseverbot angesichts der negativen Fol- gen andere ausländische Personen dazu anhalten, sich an die ausländer- rechtliche Ordnung des Gastlandes zu halten. Es besteht demnach ein ge- neral- und spezialpräventiv motiviertes Interesse an der Fernhaltung des Beschwerdeführers. Zudem wurde eine sofort vollstreckbare Wegweisung gegen ihn erlassen, was mit Blick auf Art. 67 Abs. 1 Bst. a AIG ebenfalls ein öffentliches Interesse an seiner Fernhaltung begründet beziehungs- weise das festgestellte Interesse zusätzlich erhöht.</w:t>
      </w:r>
    </w:p>
    <w:p>
      <w:r>
        <w:rPr>
          <w:b/>
        </w:rPr>
        <w:t>E. 6.3</w:t>
      </w:r>
    </w:p>
    <w:p>
      <w:r>
        <w:t>Den öffentlichen Fernhalteinteressen sind die privaten Interessen des Beschwerdeführers gegenüber zu stellen. Diese bestehen im Besuch sei- nes Bruders und dessen Familie in der Schweiz. Er macht insbesondere eine enge Beziehung zu seiner vierjährigen Enkelin geltend.</w:t>
      </w:r>
    </w:p>
    <w:p>
      <w:r>
        <w:rPr>
          <w:b/>
        </w:rPr>
        <w:t>E. 6.4</w:t>
      </w:r>
    </w:p>
    <w:p>
      <w:r>
        <w:t>Diese Vorbringen vermögen das vorliegend festgestellte öffentliche Fernhalteinteresse nicht entscheidend zu relativieren. Die vorübergehende Einschränkung hat der Beschwerdeführer selbst zu verantworten und grundsätzlich in Kauf zu nehmen. Darüber hinaus ist sie insoweit zu relati- vieren, als der Kontakt für limitierte Zeit auch anders als durch Einreisen in die Schweiz, beispielsweise mittels moderner Kommunikationsmittel oder Besuchen der Familie beim Beschwerdeführer, zu verwirklichen ist.</w:t>
      </w:r>
    </w:p>
    <w:p>
      <w:r>
        <w:rPr>
          <w:b/>
        </w:rPr>
        <w:t>E. 7</w:t>
      </w:r>
    </w:p>
    <w:p>
      <w:r>
        <w:t>Eine wertende Gewichtung der sich gegenüberstehenden Interessen führt das Bundesverwaltungsgericht zum Ergebnis, dass das auf zwei Jahre be- fristete Einreiseverbot dem Grundsatz nach und in Bezug auf seine Dauer eine verhältnismässige und angemessene Massnahme zum Schutz der öf- fentlichen Sicherheit und Ordnung darstellt (vgl. Urteil des BVGer F-</w:t>
      </w:r>
    </w:p>
    <w:p>
      <w:r>
        <w:t>F-136/2024 Seite 8 2973/2023 vom 19. Februar 2024 E. 6.4; F-295/2023 vom 23. Oktober 2023 E. 6; F-1934/2022 vom 6. März 2023 E. 7.5)</w:t>
      </w:r>
    </w:p>
    <w:p>
      <w:r>
        <w:rPr>
          <w:b/>
        </w:rPr>
        <w:t>E. 8</w:t>
      </w:r>
    </w:p>
    <w:p>
      <w:r>
        <w:t>Aus den vorstehenden Erwägungen ergibt sich, dass die angefochtene Verfügung im Lichte von Art. 49 VwVG nicht zu beanstanden ist. Die Be- schwerde ist abzuweisen.</w:t>
      </w:r>
    </w:p>
    <w:p>
      <w:r>
        <w:rPr>
          <w:b/>
        </w:rPr>
        <w:t>E. 9</w:t>
      </w:r>
    </w:p>
    <w:p>
      <w:r>
        <w:t>Angesichts des Verfahrensausgangs sind die Kosten dem unterliegenden Beschwerdeführer aufzuerlegen (vgl. Art. 63 Abs. 1 VwVG i.V.m. Art. 1 ff. des Reglements vom 21. Februar 2008 über die Kosten und Entschädigun- gen vor dem Bundesverwaltungsgericht [VGKE, SR 173.320.2]). Sie sind durch den geleisteten Kostenvorschuss gedeckt. Eine Parteientschädi- gung steht dem Beschwerdeführer nicht zu (Art. 64 Abs. 1 VwVG). (Dispositiv nächste Seite)</w:t>
      </w:r>
    </w:p>
    <w:p>
      <w:r>
        <w:t>F-136/2024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