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F-1365/2018 vom 14. September 2018</w:t>
      </w:r>
    </w:p>
    <w:p>
      <w:r>
        <w:t>Bundesverwaltungsgericht, 2018-09-14, DE</w:t>
      </w:r>
    </w:p>
    <w:p>
      <w:r>
        <w:rPr>
          <w:b/>
        </w:rPr>
        <w:t xml:space="preserve">Quelle: </w:t>
      </w:r>
      <w:r>
        <w:t>https://mcp.opencaselaw.ch/entscheid/bvger_F-1365_2018</w:t>
      </w:r>
    </w:p>
    <w:p>
      <w:r>
        <w:t>FR: TAF F-1365/2018 du 14 septembre 2018</w:t>
      </w:r>
    </w:p>
    <w:p>
      <w:r>
        <w:t>IT: TAF F-1365/2018 del 14 settembre 2018</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 sind als Gastgeber und Einsprecher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Der angefochtenen Verfügung liegt das Gesuch eines Staatsangehörigen von Gambia um Erteilung eines Visums für einen (mittlerweile noch) 23-tägigen Besuchsaufenthalt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5. April 2017, AS 2017 2549] i.V.m. Art. 6 Abs. 1 und 2 der Verordnung [EU] Nr. 2016/399 des Europäischen Parlaments und des Rates vom 9. März 2016 über einen Gemeinschaftskodex für das Überschreiten der Grenzen durch Personen [nachfolgend: Schengener Grenzkodex, SGK, ABl. L 77 vom 23.03.2016, geändert durch Verordnung (EU) 2017/458, ABl. L 74 vom 18.03.2017;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beziehungsweise ausreichende Gewähr für eine fristgerechte Wiederausreise zu bieten (Art. 14 Abs. 1 Bst. d und Art. 21 Abs. 1 Visakodex sowie Art. 5 Abs. 2 AuG; vgl. dazu Egli/Meyer, in: Caroni/Gächter/Thurnherr [Hrsg.],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etwa Urteil des BVGer F-1261/2018 vom 30. August 2018 E. 4.4 m.H.).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Die Vorinstanz verweigerte die Erteilung des beantragten Schengen-Visums mit der Begründung, die anstandslose und fristgerechte Wiederausreise erscheine nicht als hinreichend gesichert.</w:t>
      </w:r>
    </w:p>
    <w:p>
      <w:r>
        <w:rPr>
          <w:b/>
        </w:rPr>
        <w:t>E. 5.2</w:t>
      </w:r>
    </w:p>
    <w:p>
      <w:r>
        <w:t>Wie oben erwähnt, unterliegt der Gesuchsteller aufgrund seiner Staatszugehörigkeit der Visumspflicht (vgl. Anhang I zur Verordnung [EG] Nr. 539/2001 [ABl. L 81 vom 21.03.2001; zum vollständigen Quellennachweis vgl. Fussnote zu Art. 4 Abs. 1 VEV]). Bei der Prüfung der Einreisevor-aussetzungen nach Art. 5 Abs. 1 SGK ist die Frage der gesicherten Wiederausreise zentral. Zur Einschätzung entsprechender Risiken sind sämtliche Umstände des konkreten Einzelfalles zu würdigen. Anhaltspunkte zur Beurteilung einer Gewähr für die fristgerechte und anstandslose Wiederausreise können sich aus der allgemeinen Situation im Herkunftsland der Besucherin oder des Besuchers ergeben. Einreisegesuche von Bürgerinnen und Bürgern aus Staaten beziehungsweise Regionen mit politischoder wirtschaftlich vergleichsweise ungünstigen Verhältnissen können ein Indiz dafür sein, dass die persönliche Interessenlage nicht mit dem Ziel und Zweck einer zeitlich befristeten Einreisebewilligung in Einklang steht.</w:t>
      </w:r>
    </w:p>
    <w:p>
      <w:r>
        <w:rPr>
          <w:b/>
        </w:rPr>
        <w:t>E. 5.3</w:t>
      </w:r>
    </w:p>
    <w:p>
      <w:r>
        <w:t>In Gambia, dem flächenmässig kleinsten Staat des afrikanischen Festlandes, leben rund zwei Millionen Menschen. Nachdem bei den Präsidentschaftswahlen am 1. Dezember 2016 der über 20 Jahre autokratisch regierende Staatspräsident Yahya Jammeh überraschend abgewählt worden war, kehrte das Land unter dem neu gewählten Staatspräsidenten Adama Barrow zur Demokratie zurück. Dennoch wandern überproportional viele Gambier aus ihrer Heimat ab, hat sich doch die Lage nur vordergründig weitgehend normalisiert. Meist sind es junge Männer, welche zunächst aus ländlichen Regionen in die Stadt und von dort weiter nach Europa ziehen. Gründe dafür sind einerseits weit verbreitete Armut, hohe Arbeits- beziehungsweise Perspektivlosigkeit, andererseits falsche Erwartungen. Gambia, welches mit einem nominalen Pro-Kopf-Einkommen von 470 US-Dollar (Schätzung 2016) zu den ärmsten Ländern der Welt gehört und unter 188 Staaten den 173. Platz im "Human Development Index 2016" des UNDP (Entwicklungsprogramm der Vereinten Nationen) einnimmt, steht vor gewaltigen Herausforderungen bei der Armutsbekämpfung und in der Bildungs- und Infrastrukturentwicklung (vgl. im Internet: www.eda.admin.ch &gt; Vertretungen und Reisehinweise &gt; Gambia &gt; Reisehinweise für Gambia, Stand: 3. Mai 2018; www.auswaertiges-amt.de &gt; Aussen- und Europapolitik &gt; Länderinformationen &gt; Gambia &gt; Beziehungen zu Deutschland &gt; Innenpolitik bzw. Wirtschaft, Stand: November 2017; Webseiten besucht im August 2018). Vor diesem Hintergrund besteht - wie oben erwähnt - vielfach der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Angesichts der restriktiven Zulassungsregelung werden dabei nicht selten ausländerrechtliche Bestimmungen umgangen, indem - einmal eingereist - versucht wird, den Aufenthalt auf eine ganz andere rechtlicheoder faktische Basis zu stellen und sich so der Pflicht zur Wiederausreise zu entziehen. Solche Umstände und Erfahrungen sind beim Entscheid über die Erteilung eines Visums mit zu berücksichtigen.</w:t>
      </w:r>
    </w:p>
    <w:p>
      <w:r>
        <w:rPr>
          <w:b/>
        </w:rPr>
        <w:t>E. 5.4</w:t>
      </w:r>
    </w:p>
    <w:p>
      <w:r>
        <w:t>Bei der Risikoanalyse sind jedoch nicht nur die allgemeinen Umstände und Erfahrungen, sondern auch sämtliche Gesichtspunkte des konkreten Einzelfalles zu würdigen. Obliegt einer gesuchstellenden Person im Heimat- oder Herkunftsland beispielsweise eine besondere berufliche, gesellschaftliche oder familiäre Verantwortung, kann dieser Umstand durchaus die Prognose für eine anstandslose Wiederausreise begünstigen. Andererseits muss bei Personen, die in ihrer Heimat beziehungsweise in ihrem Herkunftsland keine besonderen Verpflichtungen haben, das Risiko eines ausländerrechtlich nicht regelkonformen Verhaltens nach einer bewilligten Einreise als hoch eingeschätzt werden.</w:t>
      </w:r>
    </w:p>
    <w:p>
      <w:r>
        <w:rPr>
          <w:b/>
        </w:rPr>
        <w:t>E. 6.1</w:t>
      </w:r>
    </w:p>
    <w:p>
      <w:r>
        <w:t>Beim Gesuchsteller handelt es sich um einen 29-jährigen, unverheirateten und kinderlosen Mann. Hinsichtlich seiner persönlichen Lebensumstände im Heimatland ist lediglich bekannt, dass er in Hausgemeinschaft mit seinen Eltern und zwei jüngeren Geschwistern lebt. Irgendwelche Indizien für das Bestehen eines besonderen Betreuungsbedarfs, der nur durch den Eingeladenen selbst abgedeckt werden könnte, sind aus den Akten nicht ersichtlich. Der von den Beschwerdeführern in diesem Zusammenhang vorgebrachte Einwand, die unter Bluthochdruck leidenden Eltern seien für die Messungen und die kontrollierte Medikamenteneinnahme oft auf den im Gesundheitswesen tätigen Gesuchsteller angewiesen, ist schon deshalb unbehelflich, weil ursprünglich eine rund dreimonatige Auslandabwesenheit ihres Sohnes offenbar ohne weiteres als möglich erachtet wurde. Abgesehen davon leben im gleichen Haushalt - wie oben erwähnt - noch zwei weitere (volljährige) Familienmitglieder, die ihre Eltern, falls erforderlich, betreuen könnten. Entgegen der Ansicht der Beschwerdeführer kann demnach nicht davon ausgegangen werden, im persönlichen oder familiären Umfeld des Eingeladenen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dies etwa in der Hoffnung, die Zurückgebliebenen aus dem Ausland wirtschaftlich effizienter unterstützen zu können (vgl. dazu Bst. D. und E. des Sachverhalts). Die Beschwerdeführer betonen denn auch, dass in Gambia jedes Einkommen extrem wichtig sei, um weiter auszuführen, keines der im Ausland wohnhaften (grösstenteils noch in Ausbildung stehenden) Kinder könne dauernd Geld nach Gambia schicken.</w:t>
      </w:r>
    </w:p>
    <w:p>
      <w:r>
        <w:rPr>
          <w:b/>
        </w:rPr>
        <w:t>E. 6.2</w:t>
      </w:r>
    </w:p>
    <w:p>
      <w:r>
        <w:t>Entsprechend grosse Bedeutung kommt deshalb den wirtschaftlichen Verhältnissen zu, in denen sich der Gesuchsteller befindet. Nachdem dieser anlässlich seiner Gesuchseinreichung vom 12. Oktober 2017 angegeben hatte, er befinde sich als Krankenpfleger noch in der Probezeit ("registered perioperative nurse currently on probation"; vgl. Ziff. 19 des Einreisegesuches; SEM act. 2 S. 69), führten die Beschwerdeführer ergänzend aus, ihr Gast habe seit dem 2. Januar 2018 eine neue Arbeitsstelle im "XY._______ Medical Centre" in Serre Kunda (grösste Stadt Gambias) angetreten, welche ab 2. April 2018 in eine Festanstellung umgewandelt werde. Angesichts dieses erst kürzlich erfolgten Stellenantritts, der dem Eingeladenen einen monatlichen Verdienst von umgerechnet lediglich knapp CHF 115.- garantiert und einem Bankkonto-Stand von umgerechnet bloss CHF 240.- (vgl. Kontoauszug vom 5. März 2018), kann fraglos nicht auf günstige berufliche und wirtschaftliche Verhältnisse geschlossen werden, die den Beschwerdeführer nachhaltig von einer Emigration abzuhalten vermöchten und die Gefahr eines Verbleibens in der Schweiz beziehungsweise im Schengen-Raum über den deklarierten Zeitraum hinaus als unwahrscheinlich erscheinen liesse. Die Beteuerungen auf Beschwerdeebene, wonach genügend Garantien für eine fristgerechte Wiederausreise vorhanden seien, müssen daher als nicht ausschlaggebend bezeichnet werden, zumal der Gesuchsteller mit seinem bereits im Kanton Aargau wohnhaften Bruder bereits über eine enge und wichtige Bezugsperson in der Schweiz verfügt.</w:t>
      </w:r>
    </w:p>
    <w:p>
      <w:r>
        <w:rPr>
          <w:b/>
        </w:rPr>
        <w:t>E. 6.3</w:t>
      </w:r>
    </w:p>
    <w:p>
      <w:r>
        <w:t>Vor dem dargelegten allgemeinen und persönlichen Hintergrund durfte die Vorinstanz demnach willkürfrei davon ausgehen, die Wiederausreise des Eingeladenen sei im Sinne der massgeblichen Bestimmungen nicht gesichert. An der Richtigkeit dieser Einschätzung ändert auch die Tatsache nichts, dass die Beschwerdeführer, die gemäss den eingereichten Unterlagen fraglos über einen guten Leumund verfügen, die in Art. 7 Abs. 1 VEV geregelte Verpflichtungserklärung abgegeben und damit ihr Vertrauen in ein rechtskonformes Verhalten ihres Gastes zum Ausdruck gebracht haben. Bei der Risikobeurteilung ist denn auch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w:t>
      </w:r>
    </w:p>
    <w:p>
      <w:r>
        <w:rPr>
          <w:b/>
        </w:rPr>
        <w:t>E. 6.4</w:t>
      </w:r>
    </w:p>
    <w:p>
      <w:r>
        <w:t>Mit der fehlenden Gewähr für eine anstandslose Wiederausreise ist eine zwingende Voraussetzung zur Erteilung eines Schengen-Visums nicht erfüllt. Gründe für die Ausstellung eines Visums mit räumlich beschränkter Gültigkeit wurden von den Beteiligten zu Recht nicht geltend gemacht und solche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werden die unterliegenden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