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F-1362/2025 vom 10. März 2025</w:t>
      </w:r>
    </w:p>
    <w:p>
      <w:r>
        <w:t>Bundesverwaltungsgericht, 2025-03-10, DE</w:t>
      </w:r>
    </w:p>
    <w:p>
      <w:r>
        <w:rPr>
          <w:b/>
        </w:rPr>
        <w:t xml:space="preserve">Quelle: </w:t>
      </w:r>
      <w:r>
        <w:t>https://mcp.opencaselaw.ch/entscheid/bvger_F-1362_2025</w:t>
      </w:r>
    </w:p>
    <w:p>
      <w:r>
        <w:t>FR: TAF F-1362/2025 du 10 mars 2025</w:t>
      </w:r>
    </w:p>
    <w:p>
      <w:r>
        <w:t>IT: TAF F-1362/2025 del 10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eines zweiten Richters bzw. einer zweiten Richterin (Art. 111 Bst. e AsylG), ohne Durchführung eines Schriftenwechsels und mit summarischer Begründung zu behandeln ist (Art. 111a Abs. 1 und 2 AsylG).</w:t>
      </w:r>
    </w:p>
    <w:p>
      <w:r>
        <w:rPr>
          <w:b/>
        </w:rPr>
        <w:t>E. 2.1</w:t>
      </w:r>
    </w:p>
    <w:p>
      <w:r>
        <w:t>Vorab ist festzuhalten, dass das Asylgesuch des Beschwerdeführers vom 16. Januar 2025 von der Vorinstanz zu Recht als (zweites) Mehrfachgesuch im Sinne von Art. 111c Abs. 1 AsylG qualifiziert worden ist. Auf das erste Asylgesuch vom 8. Oktober 2023 wurde mit Entscheid des SEM vom 22. Januar 2024 nicht eingetreten (rechtskräftig bestätigt mit Urteil des BVGer D-592/2024 vom 6. März 2024). Auf das zweite Asylgesuch vom 19. Juni 2024 trat die Vorinstanz mit unangefochten in Rechtskraft erwachsener Verfügung vom 18. Juli 2024 ebenfalls nicht ein. Die Einreichung des schriftlichen und begründeten dritten Asylgesuchs erfolgte damit innert fünf Jahren nach Rechtskraft der letzten Nichteintretensverfügung. Bei Mehrfachgesuchen findet keine Vorbereitungsphase statt (Art. 111c Abs. 1 AsylG), sondern die Vorinstanz gewährt der asylsuchenden Person - wie vorliegend erfolgt - schriftlich das rechtliche Gehör zur Rückkehr in den mutmasslich weiterhin zuständigen Dublin-Staat (Weisung SEM vom 1. Januar 2008 «Mehrfachgesuche, ausserordentliche Verfahren und Aussetzung des Vollzugs» [Stand 6. Mai 2021] Ziff. 5.1.2.2; nachfolgend: Weisung SEM).</w:t>
      </w:r>
    </w:p>
    <w:p>
      <w:r>
        <w:rPr>
          <w:b/>
        </w:rPr>
        <w:t>E. 2.2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Nichts anderes gilt für ausreichend begründete Mehrfachgesuche wie das vorliegende (Weisung SEM Ziff. 5.1.2.2; ungenügend begründete Mehrfachgesuche werden formlos abgeschrieben [Art. 111c Abs. 2 AsylG] und das SEM erlässt einen Wegweisungsentscheid gestützt auf Art. 64a AIG).</w:t>
      </w:r>
    </w:p>
    <w:p>
      <w:r>
        <w:rPr>
          <w:b/>
        </w:rPr>
        <w:t>E. 3.1</w:t>
      </w:r>
    </w:p>
    <w:p>
      <w:r>
        <w:t>Die Vorinstanz hat korrekt erwogen, dass grundsätzlich Kroatien für die Durchführung des Asyl- und Wegweisungsverfahrens des Beschwerdeführers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EMRK ausgesetzt oder unter Verletzung des Non-Refoulement-Gebots in seinen Heimatstaat überstellt würde, und dass keine konkreten Hinweise dafür vorliegen, dass er bei einer Rückkehr nach Kroatien in eine existenzielle Notlage geraten würde. Die Vorinstanz hat den Gesundheitszustand des Beschwerdeführers hinreichend abgeklärt und gewürdigt und insbesondere berücksichtigt, dass ihm in Kroatien der Zugang zu medizinischer Notfallversorgung und unbedingt erforderlichen Behandlungen von Krankheiten offensteht. Das Vorliegen eines Abhängigkeitsverhältnisses des Beschwerdeführers zu seiner angeblichen Freundin hat die Vorinstanz mangels eingereichter Belege zu Recht verneint. Darüber hinaus hat die Vorinstanz in rechtsfehlerfreier Ausübung des ihr nach Art. 17 Abs. 1 Dublin-III-VO und Art. 29a Abs. 3 der Asylverordnung 1 vom 11. August 1999 (AsylV 1, SR 142.311) zukommenden Ermessens von einem freiwilligen Selbsteintritt der Schweiz abgesehen. Die Vorinstanz ist demnach zu Recht in Anwendung von Art. 31a Abs. 1 Bst. b AsylG auf das zweite Mehrfachgesuch des Beschwerdeführers nicht eingetreten und hat in Anwendung von Art. 44 AsylG dessen Wegweisung nach Kroatien angeordnet. Zur näheren Begründung wird auf die korrekten vorinstanzlichen Erwägungen sowie das ausführliche Urteil des Bundesverwaltungsgerichts D-592/2024 vom 6. März 2024 verwiesen.</w:t>
      </w:r>
    </w:p>
    <w:p>
      <w:r>
        <w:rPr>
          <w:b/>
        </w:rPr>
        <w:t>E. 3.2</w:t>
      </w:r>
    </w:p>
    <w:p>
      <w:r>
        <w:t>Dass der Beschwerdeführer auf Rechtsmittelebene unsubstantiiert vorbringt, in Kroatien von Schleppern bedroht, mit einem Messer verletzt und von der kroatischen Polizei geschlagen worden zu sein, vermag an der Richtigkeit der vorinstanzlichen Verfügung nichts zu ändern. Ebenso wenig vermögen dies seine allgemeinen und pauschalen Hinweise hinsichtlich systemischer Schwachstellen im kroatischen Asylverfahren, katastrophaler Unterbringungsbedingungen, erschwertem Zugang zur Gesundheitsversorgung und Polizeigewalt gegenüber Schutzsuchenden. Mangels systemischer Mängel im Sinne von Art. 3 Abs. 2 Dublin-III-VO kann davon ausgegangen werden, dass Kroatien seinen völker- und gemeinschaftsrechtlichen Verpflichtungen gegenüber Personen in der Situation des Beschwerdeführers nachkommt und insbesondere auch die Rechte respektiert und schützt, die sich aus der sogenannten Verfahrens- und Aufnahmerichtlinie ergeben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 Urteile des BVGer F-3533/2024 vom 16. Juli 2024 E. 2.2; F-1883/2023 vom 12. April 2023 E. 8.2). Entsprechend kann sich der Beschwerdeführer bei allfälligen vorübergehenden Einschränkungen dieser Rechte an die kroatischen Behörden wenden und seine Rechte auf dem Rechtsweg einfordern (vgl. Art. 26 Aufnahmerichtlinie). Den Akten sind auch keine konkreten Gründe für die Annahme zu entnehmen, Kroatien werde in seinem Fall den Grundsatz des Non-Refoulement missachten und ihn zur Ausreise in ein Land zwingen, in dem sein Leib, sein Leben oder seine Freiheit im Sinne von Art. 3 Abs. 1 AsylG gefährdet wäre oder in dem er Gefahr laufen würde, zur Ausreise in ein solches Land gezwungen zu werden. Die auf Beschwerdeebene vorgebrachte Suizidalität und die Medikamenteneinnahme des Beschwerdeführers lassen sich anhand der Akten nicht objektivieren. Selbst bei entsprechendem Nachweis würde sein Gesundheitszustand nicht zur Annahme führen, eine Überstellung nach Kroatien verstosse gegen Art. 3 EMRK (betreffend Suizidalität im Besonderen vgl. Urteile des BGer 2C_221/2020 vom 19. Juni 2020 E. 2; 2C_856/2015 vom 10. Oktober 2015 E. 3.2.1; Urteil des BVGer F-2897/2024 vom 15. Mai 2024 E. 6.8). Das im Gesuch vom 16. Januar 2025 ferner geltend gemachte, bis dato unbelegt und unsubstantiiert gebliebene Abhängigkeitsverhältnis zu seiner angeblich in der Schweiz wohnhaften Freundin bringt der Beschwerdeführer auf Beschwerdeebene nicht mehr vor und es sind auch in den Akten keine Hinweise auf ein solches ersichtlich.</w:t>
      </w:r>
    </w:p>
    <w:p>
      <w:r>
        <w:rPr>
          <w:b/>
        </w:rPr>
        <w:t>E. 4</w:t>
      </w:r>
    </w:p>
    <w:p>
      <w:r>
        <w:t>Nach dem Gesagten kann der Vorinstanz auch nicht vorgeworfen werden, den rechtserheblichen Sachverhalt unvollständig festgestellt zu haben, weshalb der entsprechende Eventualantrag auf Rückweisung der Sache an die Vorinstanz abzuweisen ist. Ebenso wenig besteht Anlass, die Vorinstanz anzuweisen, von den kroatischen Behörden individuelle Zusicherungen im Sinne des Subeventualantrags einzuholen, weshalb auch das entsprechende Subeventualbegehren abzuweisen ist.</w:t>
      </w:r>
    </w:p>
    <w:p>
      <w:r>
        <w:rPr>
          <w:b/>
        </w:rPr>
        <w:t>E. 5</w:t>
      </w:r>
    </w:p>
    <w:p>
      <w:r>
        <w:t>Aus den vorstehenden Erwägungen ergibt sich, dass die angefochtene Verfügung vom 14. Februar 2025 nicht zu beanstanden und die Beschwerde vollumfänglich abzuweisen ist.</w:t>
      </w:r>
    </w:p>
    <w:p>
      <w:r>
        <w:rPr>
          <w:b/>
        </w:rPr>
        <w:t>E. 6</w:t>
      </w:r>
    </w:p>
    <w:p>
      <w:r>
        <w:t>Mit vorliegendem Urteil wird der Antrag auf Erteilung der aufschiebenden Wirkung gegenstandslos und fällt der am 3. März 2025 verfügte Vollzugsstopp dahin.</w:t>
      </w:r>
    </w:p>
    <w:p>
      <w:r>
        <w:rPr>
          <w:b/>
        </w:rPr>
        <w:t>E. 7</w:t>
      </w:r>
    </w:p>
    <w:p>
      <w:r>
        <w:t>Das Gesuch um unentgeltliche Rechtspflege ist abzuweisen, da die Begehren - wie sich aus den vorstehenden Erwägungen ergibt - als aussichtslos zu bezeichnen sind und dies auch im Zeitpunkt der Gesuchstellung waren. 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