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F-1346/2021 vom 1. April 2021</w:t>
      </w:r>
    </w:p>
    <w:p>
      <w:r>
        <w:t>Bundesverwaltungsgericht, 2021-04-01, DE</w:t>
      </w:r>
    </w:p>
    <w:p>
      <w:r>
        <w:rPr>
          <w:b/>
        </w:rPr>
        <w:t xml:space="preserve">Quelle: </w:t>
      </w:r>
      <w:r>
        <w:t>https://mcp.opencaselaw.ch/entscheid/bvger_F-1346_2021</w:t>
      </w:r>
    </w:p>
    <w:p>
      <w:r>
        <w:t>FR: TAF F-1346/2021 du 1 avril 2021</w:t>
      </w:r>
    </w:p>
    <w:p>
      <w:r>
        <w:t>IT: TAF F-1346/2021 del 1 aprile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4</w:t>
      </w:r>
    </w:p>
    <w:p>
      <w:r>
        <w:t>Die Zuständigkeit Österreichs zur Durchführung des Asyl- und Wegweisungsverfahrens ist gestützt auf Art. 18 Abs. 1 Bst. d Dublin-III-VO grundsätzlich gegeben und wird vom Beschwerdeführer auch nicht bestritten.</w:t>
      </w:r>
    </w:p>
    <w:p>
      <w:r>
        <w:rPr>
          <w:b/>
        </w:rPr>
        <w:t>E. 5.1</w:t>
      </w:r>
    </w:p>
    <w:p>
      <w:r>
        <w:t>Nach ständiger Rechtsprechung des Bundesverwaltungsgerichts weist das Asylverfahren in Österreich keine systemischen Schwachstellen im Sinn von Art. 3 Abs. 2 Dublin-III-VO auf (vgl. anstelle vieler Urteil des BVGer F-4030/2020 vom 18. August 2020 E. 4.3 und E. 4.4 m.H.).</w:t>
      </w:r>
    </w:p>
    <w:p>
      <w:r>
        <w:rPr>
          <w:b/>
        </w:rPr>
        <w:t>E. 5.2</w:t>
      </w:r>
    </w:p>
    <w:p>
      <w:r>
        <w:t>Diese Einschätzung vermag der Beschwerdeführer mit seiner pauschalen Kritik an den ihm dort gewährten Aufnahmebedingungen nicht in Frage zu stellen. Über die Ursachen für die ausgestandene Haft äusserte sich der Beschwerdeführer nicht, obwohl ihm diese bekannt sein müssten. Die eingereichten Medizinalakten lassen nicht erkennen, dass die ihm gewährte Behandlung mangelhaft gewesen wäre. Art. 3 Abs. 2 Dublin-III-VO kommt daher nicht zur Anwendung.</w:t>
      </w:r>
    </w:p>
    <w:p>
      <w:r>
        <w:rPr>
          <w:b/>
        </w:rPr>
        <w:t>E. 6</w:t>
      </w:r>
    </w:p>
    <w:p>
      <w:r>
        <w:t>Bleibt zu prüfen, ob die Vorinstanz trotz der grundsätzlichen Zuständigkeit Österreichs das Selbsteintrittsrecht nach Art. 17 Abs. 1 erster Satz Dublin-III-VO, konkretisiert in Art. 29a Abs. 3 AsylV 1, hätte ausüben müssen.</w:t>
      </w:r>
    </w:p>
    <w:p>
      <w:r>
        <w:rPr>
          <w:b/>
        </w:rPr>
        <w:t>E. 6.1</w:t>
      </w:r>
    </w:p>
    <w:p>
      <w:r>
        <w:t>Der Beschwerdeführer behauptet, im Falle einer Rücküberstellung in Österreich keinen Anspruch mehr auf Unterkunft, Betreuung und Zugang zu medizinischer Hilfe zu haben, was für ihn lebensbedrohlich wäre. Die Lage abgewiesener Asylbewerber sei in Österreich ganz allgemein schlecht.</w:t>
      </w:r>
    </w:p>
    <w:p>
      <w:r>
        <w:rPr>
          <w:b/>
        </w:rPr>
        <w:t>E. 6.2</w:t>
      </w:r>
    </w:p>
    <w:p>
      <w:r>
        <w:t>Österreich ist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 Januar 1967 (SR 0.142.301) und kommt seinen diesbezüglichen völkerrechtlichen Verpflichtungen nach.</w:t>
      </w:r>
    </w:p>
    <w:p>
      <w:r>
        <w:rPr>
          <w:b/>
        </w:rPr>
        <w:t>E. 6.3</w:t>
      </w:r>
    </w:p>
    <w:p>
      <w:r>
        <w:t>Auch ist anzunehmen,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6.3.1</w:t>
      </w:r>
    </w:p>
    <w:p>
      <w:r>
        <w:t>Zwar kann die Vermutung, Österreich halte seine völkerrechtlichen Verpflichtungen ein, im Einzelfall widerlegt werden. Dafür braucht es aber konkrete Indizien, die gegebenenfalls vom Betroffenen glaubhaft darzutun sind (vgl. BVGE 2010/45 E. 7.4 f.; Urteil des BVGer D-5698/2017 vom 6.3.2018 E. 5.3.1).</w:t>
      </w:r>
    </w:p>
    <w:p>
      <w:r>
        <w:rPr>
          <w:b/>
        </w:rPr>
        <w:t>E. 6.3.2</w:t>
      </w:r>
    </w:p>
    <w:p>
      <w:r>
        <w:t>Die Ausführungen des Beschwerdeführers genügen diesen Anforderungen offensichtlich nicht. Der Beschwerdeführer hat kein konkretes und ernsthaftes Risiko dafür dargetan, dass sich Österreich im Falle einer Überstellung weigern könnte, ihn wieder aufzunehmen oder ihm in Bezug auf Unterbringung und Betreuung die ihm zustehenden minimalen völkerrechtlichen Ansprüche zu gewähren. Den Akten sind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Überstellung des Beschwerdeführers nach Österreich führt nicht zu einer Kettenabschiebung, welche gegen das Non-Refoulement-Prinzip verstossen würde, wie es in Art. 33 FK verankert ist (und sich ausserdem aus Art. 4 der EU-Grundrechtecharta, Art. 3 EMRK oder Art. 3 FoK ableiten lässt).</w:t>
      </w:r>
    </w:p>
    <w:p>
      <w:r>
        <w:rPr>
          <w:b/>
        </w:rPr>
        <w:t>E. 6.3.3</w:t>
      </w:r>
    </w:p>
    <w:p>
      <w:r>
        <w:t>Auch wenn das Asylverfahren in Österreich bereits rechtskräftig abgeschlossen ist, obliegt es den dortigen Behörden, den weiteren Aufenthalt bis zu einem allfälligen Wegweisungsvollzug beziehungsweise einer anderen ausländerrechtlichen Regelung im Einklang mit den völkerrechtlichen Verpflichtungen zu regeln (vgl. Urteile des BVGer F-1186/2020 vom 24. März 2021 E. 5.4; F-658/2020 vom 14. Februar 2020 E. 6.4; F-6848/2019 vom 10. Januar 2020 E. 7.3; F-636672019 vom 10. Dezember 2019 E. 7.3).</w:t>
      </w:r>
    </w:p>
    <w:p>
      <w:r>
        <w:rPr>
          <w:b/>
        </w:rPr>
        <w:t>E. 6.4</w:t>
      </w:r>
    </w:p>
    <w:p>
      <w:r>
        <w:t>Die schweizerischen Behörden, die mit dem Vollzug der angefochtenen Verfügung beauftragt sind, werden allfälligen besonderen Bedürfnissen, die sich aus der gesundheitlichen Konstitution des Beschwerdeführers ergeben können, bei der Bestimmung der konkreten Modalitäten der Überstellung Rechnung tragen und die österreichischen Behörden vorgängig in geeigneter Weise darüber informieren (Art. 31 f. Dublin-III-VO).</w:t>
      </w:r>
    </w:p>
    <w:p>
      <w:r>
        <w:rPr>
          <w:b/>
        </w:rPr>
        <w:t>E. 6.5</w:t>
      </w:r>
    </w:p>
    <w:p>
      <w:r>
        <w:t>Andere Gründe, die der Schweiz Anlass geben könnten, von ihrem Selbsteintrittsrecht nach Art. 17 Abs. 1 Satz 1 Dublin-III-VO Gebrauch zu machen, werden weder geltend gemacht noch sind solche ersichtlich. Dabei gilt auch zu beachten, dass die Dublin-III-VO den Schutzsuchenden kein Recht einräumt, den ihren Antrag prüfenden Staat selber auszuwählen (vgl. auch BVGE 2010/45 E. 8.3).</w:t>
      </w:r>
    </w:p>
    <w:p>
      <w:r>
        <w:rPr>
          <w:b/>
        </w:rPr>
        <w:t>E. 7</w:t>
      </w:r>
    </w:p>
    <w:p>
      <w:r>
        <w:t>Die Vorinstanz ist demnach zu Recht gestützt auf Art. 31a Abs. 1 Bst. b AsylG auf das Asylgesuch des Beschwerdeführers nicht eingetreten und hat in Anwendung von Art. 44 AsylG die Überstellung nach Österreich angeordnet. Unter diesen Umständen sind allfällige Vollzugshindernisse gemäss Art. 83 Abs. 3 und 4 AIG (SR 142.20) nicht mehr zu prüfen, da das Fehlen von Überstellungshindernissen bereits Voraussetzung des Nichteintretensentscheides gemäss Art. 31a Abs. 1 Bst. b AsylG ist (vgl. BVGE 2015/18 E. 5.2 m.w.H.).</w:t>
      </w:r>
    </w:p>
    <w:p>
      <w:r>
        <w:rPr>
          <w:b/>
        </w:rPr>
        <w:t>E. 8</w:t>
      </w:r>
    </w:p>
    <w:p>
      <w:r>
        <w:t>Die Beschwerde ist aus den dargelegten Gründen abzuweisen und die Verfügung der Vorinstanz ist zu bestätigen.</w:t>
      </w:r>
    </w:p>
    <w:p>
      <w:r>
        <w:rPr>
          <w:b/>
        </w:rPr>
        <w:t>E. 8.1</w:t>
      </w:r>
    </w:p>
    <w:p>
      <w:r>
        <w:t>Mit dem vorliegenden Urteil fällt der am 26. März 2021 angeordnete Vollzugsstopp dahin. Das Gesuch um Erteilung der aufschiebenden Wirkung ist gegenstandslos geworden.</w:t>
      </w:r>
    </w:p>
    <w:p>
      <w:r>
        <w:rPr>
          <w:b/>
        </w:rPr>
        <w:t>E. 8.2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