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F-1326/2022 vom 17. Juli 2023</w:t>
      </w:r>
    </w:p>
    <w:p>
      <w:r>
        <w:t>Bundesverwaltungsgericht, 2023-07-17, DE</w:t>
      </w:r>
    </w:p>
    <w:p>
      <w:r>
        <w:rPr>
          <w:b/>
        </w:rPr>
        <w:t xml:space="preserve">Quelle: </w:t>
      </w:r>
      <w:r>
        <w:t>https://mcp.opencaselaw.ch/entscheid/bvger_F-1326_2022</w:t>
      </w:r>
    </w:p>
    <w:p>
      <w:r>
        <w:t>FR: TAF F-1326/2022 du 17 juillet 2023</w:t>
      </w:r>
    </w:p>
    <w:p>
      <w:r>
        <w:t>IT: TAF F-1326/2022 del 17 luglio 2023</w:t>
      </w:r>
    </w:p>
    <w:p>
      <w:pPr>
        <w:pStyle w:val="Heading2"/>
      </w:pPr>
      <w:r>
        <w:t>Regeste</w:t>
      </w:r>
    </w:p>
    <w:p>
      <w:r>
        <w:t>Einreiseverbot</w:t>
      </w:r>
    </w:p>
    <w:p>
      <w:pPr>
        <w:pStyle w:val="Heading2"/>
      </w:pPr>
      <w:r>
        <w:t>Erwägungen</w:t>
      </w:r>
    </w:p>
    <w:p>
      <w:r>
        <w:rPr>
          <w:b/>
        </w:rPr>
        <w:t>E. 1.1</w:t>
      </w:r>
    </w:p>
    <w:p>
      <w:r>
        <w:t>Verfügungen des SEM, die ein Einreiseverbot nach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Adressat der angefochtenen Verfügung zur Erhebung des Rechtsmittels legitimiert (Art. 48 Abs. 1 VwVG). Auf die im Übrigen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im Falle von Bundesbehörden, die Unangemessenheit gerügt werden (Art. 49 VwVG). Das Bundesverwaltungsgericht wendet im Beschwerdeverfahren das Bundesrecht von Amtes wegen an und ist nicht an die Begründung der Begehren gebunden (Art. 62 Abs. 4 VwVG). Massgebend ist grundsätzlich die Sachlage im Entscheidzeitpunkt (BVGE 2014/1 E. 2).</w:t>
      </w:r>
    </w:p>
    <w:p>
      <w:r>
        <w:rPr>
          <w:b/>
        </w:rPr>
        <w:t>E. 3.1</w:t>
      </w:r>
    </w:p>
    <w:p>
      <w:r>
        <w:t>Der Beschwerdeführer rügt sinngemäss eine Verletzung des rechtlichen Gehörs, da er - abgesehen anlässlich einer Verhaftung - keine Möglichkeit gehabt habe, persönlich gegen die erhobenen Vorwürfe Stellung zu nehmen.</w:t>
      </w:r>
    </w:p>
    <w:p>
      <w:r>
        <w:rPr>
          <w:b/>
        </w:rPr>
        <w:t>E. 3.2</w:t>
      </w:r>
    </w:p>
    <w:p>
      <w:r>
        <w:t>Die Kantonspolizei H._______ gewährte dem Beschwerdeführer anlässlich einer Einvernahme am 14. November 2021 das rechtliche Gehör zu einer allfälligen Anordnung einer Fernhaltemassnahme. Der Beschwerdeführer verzichtete dabei auf sein Äusserungsrecht. Damit wurde dem Recht auf vorgängige Anhörung (Art. 30 Abs. 1 VwVG) genüge getan. Eine Verletzung des rechtlichen Gehörs (Art. 29 Abs. 2 BV) liegt nicht vor.</w:t>
      </w:r>
    </w:p>
    <w:p>
      <w:r>
        <w:rPr>
          <w:b/>
        </w:rPr>
        <w:t>E. 4</w:t>
      </w:r>
    </w:p>
    <w:p>
      <w:r>
        <w:t>Der Beschwerdeführer ist Staatsangehöriger Italiens und damit einer Vertragspartei des Abkommens über die Freizügigkeit vom 21. Juni 1999 zwischen der Schweizerischen Eidgenossenschaft einerseits und der Europäischen Gemeinschaft und ihren Mitgliedstaaten andererseits (Freizügigkeitsabkommen, FZA, SR 0.142.112.681). Gemäss Art. 2 Abs. 2 AIG ist das ordentliche Ausländerrecht - bestehend aus dem AIG und seinen Ausführungsverordnungen - nur soweit anwendbar, als das FZA keine abweichenden Bestimmungen enthält oder die Bestimmungen des ordentlichen Ausländerrechts günstiger sind.</w:t>
      </w:r>
    </w:p>
    <w:p>
      <w:r>
        <w:rPr>
          <w:b/>
        </w:rPr>
        <w:t>E. 5</w:t>
      </w:r>
    </w:p>
    <w:p>
      <w:r>
        <w:t>Die Vorinstanz kann nach Art. 67 Abs. 2 Bst. a AIG (in der hier anwendbaren, bis am 21. November 2022 gültig gewesenen Fassung vom 18. Juni 2010 [AS 2010 5925]) Einreiseverbote gegenüber Ausländerinnen und Ausländern verfügen,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ist gegeben,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AIG).</w:t>
      </w:r>
    </w:p>
    <w:p>
      <w:r>
        <w:rPr>
          <w:b/>
        </w:rPr>
        <w:t>E. 6.1</w:t>
      </w:r>
    </w:p>
    <w:p>
      <w:r>
        <w:t>Im Anwendungsbereich des Freizügigkeitsabkommens stellt ein Einreiseverbot nach Art. 67 AIG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L 56/850 vom 4.4.1964), 72/194/EWG (ABl. Nr. L 121/32 vom 26.5.1972) und 75/35/EWG (ABl. Nr. L 14/14 vom 20.1.1975) in ihrer Fassung zum Zeitpunkt der Unterzeichnung des Freizügigkeitsabkommens (Art. 16 Abs. 1 FZA i.V.m. Art. 5 Abs. 2 Anhang I FZA) und die vor diesem Zeitpunkt bestandene, einschlägige Rechtsprechung des Gerichtshofs der Europäischen Gemeinschaft (EuGH; Art. 16 Abs. 2 FZA). In diesem Sinne schränkt das Freizügigkeitsabkommen die Befugnisse nationaler Behörden bei der Handhabung ausländerrechtlicher Massnahmen wie des Einreiseverbots ein.</w:t>
      </w:r>
    </w:p>
    <w:p>
      <w:r>
        <w:rPr>
          <w:b/>
        </w:rPr>
        <w:t>E. 6.2</w:t>
      </w:r>
    </w:p>
    <w:p>
      <w:r>
        <w:t>Art. 5 Abs. 1 Anhang I FZA setzt ausser der Störung der öffentlichen Ordnung und Sicherheit eine tatsächliche und hinreichend schwere Gefährdung voraus, die ein Grundinteresse der Gesellschaft berührt. Eine strafrechtliche Verurteilung darf dabei nur insofern zum Anlass einer Fernhaltemassnahme genommen werden, als die ihr zugrundeliegenden Umstände ein persönliches Verhalten erkennen lassen, das eine gegenwärtige Gefährdung der öffentlichen Ordnung und Sicherheit darstellt (Art. 3 Abs. 1 und 2 der Richtlinie 64/221/EWG). Art. 5 Anhang I FZA steht damit Massnahmen entgegen, die (allein) aus generalpräventiven Gründen verfügt werden. Es ist deshalb jeweils zu prüfen, ob im Einzelfall eine relevante, fortdauernde Rückfallgefahr besteht. Die Bejahung einer solchen setzt nicht voraus, dass die betroffene Person mit an Sicherheit grenzender Wahrscheinlichkeit wieder delinquieren wird. Ebenso wenig kann für die Verneinung einer Rückfallgefahr verlangt werden, dass überhaupt kein Restrisiko mehr besteht. Vielmehr kommt es auf die Prognose des künftigen Wohlverhaltens an, ob der Ausländer in Zukunft die öffentliche Sicherheit und Ordnung stören wird. Je schwerer die befürchtete beziehungsweise vernünftigerweise absehbare Verletzung wichtiger Rechtsgüter wiegt, umso weniger ist die Möglichkeit eines Rückfalls freizügigkeitsrechtlich hinzunehmen (BGE 145 IV 364 E. 3.5.2; 139 II 121 E. 5.3).</w:t>
      </w:r>
    </w:p>
    <w:p>
      <w:r>
        <w:rPr>
          <w:b/>
        </w:rPr>
        <w:t>E. 7.1</w:t>
      </w:r>
    </w:p>
    <w:p>
      <w:r>
        <w:t>Aktenkundig ist, dass der Beschwerdeführer in der Schweiz wiederholt straffällig wurde (siehe Bst. B., D., E., I. und K. hiervor). Des Weiteren verübte er auch im Ausland zahlreiche Straftaten. Diesbezüglich lässt sich dem (...) Strafregisterauszug vom 1. Juni 2022 entnehmen, dass er von 2002 bis 2020 in M._______, N._______, O._______ und P._______ insgesamt 16 Verurteilungen erwirkt hat. Mit seiner wiederholten Straffälligkeit hat er zweifellos gegen die öffentliche Sicherheit und Ordnung verstossen. Die Voraussetzungen zur Verhängung einer Fernhaltemassnahme nach Art. 67 Abs. 2 Bst. a AIG sind somit erfüllt.</w:t>
      </w:r>
    </w:p>
    <w:p>
      <w:r>
        <w:rPr>
          <w:b/>
        </w:rPr>
        <w:t>E. 7.2</w:t>
      </w:r>
    </w:p>
    <w:p>
      <w:r>
        <w:t>Hinsichtlich der Frage, ob vom Beschwerdeführer eine nach dem FZA vorausgesetzte Rückfallgefahr (siehe E. 6.2 hiervor) ausgeht, ist zu beachten, dass er bereits als junger Erwachsener straffällig wurde. Später delinquierte er in regelmässigen Abständen weiter und erwirkte unter anderem Verurteilungen wegen vorsätzlicher Körperverletzung, Diebstahl, Hausfriedensbruch und Drohungen. Die meisten der durch ihn begangenen Straftaten richteten sich zwar gegen das Vermögen. Er beging aber auch Delikte gegen Leib und Leben (Körperverletzung und Tätlichkeit) und gegen die Freiheit (Drohungen) und liess sich weder durch hängige Strafverfahren noch Verurteilungen von weiterer Delinquenz abhalten. Sein Verhalten über viele Jahre hinweg lässt auf eine nicht zu unterschätzende kriminelle Energie schliessen und zeugt von einer erheblichen Geringschätzung gegenüber der Rechtsordnung. Des Weiteren lassen die Versuche der Rechtfertigung seiner Taten anlässlich der polizeilichen Einvernahmen (indem er ausführt, er sei zum Tatzeitpunkt stark alkoholisiert gewesen oder seine Mittäter beschuldigt) auf eine mangelnde Einsicht in das begangene Unrecht schliessen. Folglich ist das im Rahmen des FZA geforderte Rückfallrisiko zu bejahen.</w:t>
      </w:r>
    </w:p>
    <w:p>
      <w:r>
        <w:rPr>
          <w:b/>
        </w:rPr>
        <w:t>E. 7.3</w:t>
      </w:r>
    </w:p>
    <w:p>
      <w:r>
        <w:t>Insgesamt berechtigt die wiederholte Delinquenz des Beschwerdeführers zur Annahme, dass von ihm eine gegenwärtige, tatsächliche und hinreichend schwere Gefahr für die öffentliche Sicherheit und Ordnung ausgeht, weshalb die Verhängung eines Einreiseverbots nach Art. 5 Abs. 1 Anhang I FZA grundsätzlich gerechtfertigt ist.</w:t>
      </w:r>
    </w:p>
    <w:p>
      <w:r>
        <w:rPr>
          <w:b/>
        </w:rPr>
        <w:t>E. 8.1</w:t>
      </w:r>
    </w:p>
    <w:p>
      <w:r>
        <w:t>Zu prüfen bleibt die Verhältnismässigkeit der Fernhaltemassnahme. Sowohl in Anwendung des FZA als auch von Art. 5 Abs. 2 BV und Art. 96 AIG muss die im konkreten Einzelfall vorgenommene Abwägung der öffentlichen und privaten Interessen die Fernhaltemassnahme als den Umständen angemessen erscheinen. Dabei sind neben der Schwere des Verschuldens auch die persönliche Situation des Ausländers, sein Integrationsgrad, die Dauer seines Aufenthalts in der Schweiz sowie die Nachteile, die er und seine Familie bei Anwendung der strittigen Massnahme erleiden müssten, zu berücksichtigen (BGE 139 II 121 E. 6.5.1).</w:t>
      </w:r>
    </w:p>
    <w:p>
      <w:r>
        <w:rPr>
          <w:b/>
        </w:rPr>
        <w:t>E. 8.2</w:t>
      </w:r>
    </w:p>
    <w:p>
      <w:r>
        <w:t>Vom Beschwerdeführer geht bei einer Gesamtbetrachtung seines strafrechtlichen Leumunds eine hinreichend schwere Gefährdung der öffentlichen Sicherheit und Ordnung aus (siehe E. 7 hiervor). Das öffentliche Interesse an seiner Fernhaltung ist als erheblich einzustufen.</w:t>
      </w:r>
    </w:p>
    <w:p>
      <w:r>
        <w:rPr>
          <w:b/>
        </w:rPr>
        <w:t>E. 8.3</w:t>
      </w:r>
    </w:p>
    <w:p>
      <w:r>
        <w:t>Als privates Interesse am Aufenthalt in der Schweiz führt der Beschwerdeführer an, er habe eine Zusicherung für eine Anstellung in einem Restaurant im Kanton J._______. Einen entsprechenden Nachweis vermochte er jedoch nicht beizubringen. Soweit ersichtlich hat er keine besonderen Verbindungen zur Schweiz. Vor diesem Hintergrund wiegt sein privates Interesse, ungehindert in die Schweiz einreisen zu können, gering.</w:t>
      </w:r>
    </w:p>
    <w:p>
      <w:r>
        <w:rPr>
          <w:b/>
        </w:rPr>
        <w:t>E. 8.4</w:t>
      </w:r>
    </w:p>
    <w:p>
      <w:r>
        <w:t>Die Dauer des gegen den Beschwerdeführer erlassenen zweijährigen Einreiseverbots ist nach Abwägung der sich gegenüberstehenden Interessen und unter Berücksichtigung der Praxis in ähnlich gelagerten Fällen verhältnismässig (vgl. bspw. Urteile des BVGer F-5081/2021 vom 31. Oktober 2022 [2-jähriges FZA-Einreiseverbot wegen Erschleichung eines Aufenthaltstitels und SVG-Delikten, u.a. grobe Verletzung von Verkehrsregeln]; F-2683/2020 vom 5. Juli 2021 [13-monatiges FZA-Einreiseverbot wegen Diebstahls, Fahrens eines Motorfahrzeugs in alkoholisiertem Zustand, gesetzeswidriger Verwendung von Kreditkarten und Drohung im Ausland sowie zwei polizeilichen Interventionen ohne strafrechtliche Konsequenzen in der Schweiz]).</w:t>
      </w:r>
    </w:p>
    <w:p>
      <w:r>
        <w:rPr>
          <w:b/>
        </w:rPr>
        <w:t>E. 9</w:t>
      </w:r>
    </w:p>
    <w:p>
      <w:r>
        <w:t>Folglich ist die angefochtene Verfügung von Bundesrechts wegen (Art. 49 VwVG) nicht zu beanstanden. Die Beschwerde ist abzuweisen.</w:t>
      </w:r>
    </w:p>
    <w:p>
      <w:r>
        <w:rPr>
          <w:b/>
        </w:rPr>
        <w:t>E. 10</w:t>
      </w:r>
    </w:p>
    <w:p>
      <w:r>
        <w:t>Angesichts des Verfahrensausgangs sind die Kosten in der Höhe von Fr. 1'000.- dem unterliegenden Beschwerdeführer aufzuerlegen (Art. 63 Abs. 1 VwVG i.V.m. Art. 1 ff. des Reglements vom 21. Februar 2008 über die Kosten und Entschädigungen vor dem Bundesverwaltungsgericht [VGKE, SR 173.320.2]). Sie sind durch den geleisteten Kostenvorschuss gedeckt.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