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F-1320/2021 vom 18. April 2023</w:t>
      </w:r>
    </w:p>
    <w:p>
      <w:r>
        <w:t>Bundesverwaltungsgericht, 2023-04-18, FR</w:t>
      </w:r>
    </w:p>
    <w:p>
      <w:r>
        <w:rPr>
          <w:b/>
        </w:rPr>
        <w:t xml:space="preserve">Quelle: </w:t>
      </w:r>
      <w:r>
        <w:t>https://mcp.opencaselaw.ch/entscheid/bvger_F-1320_2021</w:t>
      </w:r>
    </w:p>
    <w:p>
      <w:r>
        <w:t>FR: TAF F-1320/2021 du 18 avril 2023</w:t>
      </w:r>
    </w:p>
    <w:p>
      <w:r>
        <w:t>IT: TAF F-1320/2021 del 18 aprile 2023</w:t>
      </w:r>
    </w:p>
    <w:p>
      <w:pPr>
        <w:pStyle w:val="Heading2"/>
      </w:pPr>
      <w:r>
        <w:t>Regeste</w:t>
      </w:r>
    </w:p>
    <w:p>
      <w:r>
        <w:t>Assistance administrative</w:t>
      </w:r>
    </w:p>
    <w:p>
      <w:pPr>
        <w:pStyle w:val="Heading2"/>
      </w:pPr>
      <w:r>
        <w:t>Erwägungen</w:t>
      </w:r>
    </w:p>
    <w:p>
      <w:r>
        <w:rPr>
          <w:b/>
        </w:rPr>
        <w:t>E. 6.1.1</w:t>
      </w:r>
    </w:p>
    <w:p>
      <w:r>
        <w:t>Pour ce qui est des conditions de fond, les recourants reprochent tout d'abord à l'autorité inférieure d'accéder à une demande basée sur des données volées, en violation du principe de la bonne foi et de l'art. 7 let. c LAAF. A l'appui de leur grief, les recourants avancent que la demande du 11 mai 2016 reposerait sur des données obtenues en violation du secret bancaire (cf. art. 47 de la loi fédérale du 8 novembre 1934 sur les banques et les caisses d'épargne [LB, RS 952.0]), respectivement sur des données volées à la banque UBS. L'AFC elle-même aurait admis la provenance illicite desdites données, qui établirait sans conteste la mauvaise foi de l'Etat requérant. Les circonstances dans lesquelles ces informations ont été transmises aux autorités françaises seraient d'ailleurs particulièrement floues. Les recourants reprochent dès lors à l'autorité inférieure de ne pas avoir demandé des éclaircissements à la DGFiP s'agissant du contexte dans lequel elle a obtenu ces données, ce qui fait l'objet de l'une de leurs conclusions préalables.</w:t>
      </w:r>
    </w:p>
    <w:p>
      <w:r>
        <w:rPr>
          <w:b/>
        </w:rPr>
        <w:t>E. 6.1.2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LB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6.1.3</w:t>
      </w:r>
    </w:p>
    <w:p>
      <w:r>
        <w:t>Sur la base des faits tels que décrits ci-avant, il convient d'examiner si la demande litigieuse repose sur des données volées comme l'allèguent les recourants.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et 2C_648/2017 du 17 juillet 2018 consid. 2.3.3 à 2.3.4). Ces deux éléments seront examinés successivement dans les considérants qui suivent.</w:t>
      </w:r>
    </w:p>
    <w:p>
      <w:r>
        <w:rPr>
          <w:b/>
        </w:rPr>
        <w:t>E. 6.1.3.1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 .html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les recourants ne le soutiennent à juste titre pas.</w:t>
      </w:r>
    </w:p>
    <w:p>
      <w:r>
        <w:rPr>
          <w:b/>
        </w:rPr>
        <w:t>E. 6.1.3.2</w:t>
      </w:r>
    </w:p>
    <w:p>
      <w:r>
        <w:t>Quant à l'existence d'un lien de causalité entre les données prétendument volées et la demande d'assistance administrative,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 2011/16/UE (cf. arrêts du TAF A-3045/2020, A-3047/2020 et A-3048/2020 précités consid. 5.2.3 [le TF a déclaré irrecevables les recours déposés contre ces décisions : cf. notamment arrêt du TF 2C_320/2021 du 30 avril 2021] ainsi que A-1534/2018, A-1555/2018, A-1562/2018 et A-1563/2018 précités consid. 3.6 ; consid. A.b et 6.1.2 supra).</w:t>
      </w:r>
    </w:p>
    <w:p>
      <w:r>
        <w:rPr>
          <w:b/>
        </w:rPr>
        <w:t>E. 6.1.4</w:t>
      </w:r>
    </w:p>
    <w:p>
      <w:r>
        <w:t>Au demeurant, le Tribunal rappelle qu'à l'aune du principe de la bonne foi qui gouverne les relations entre Etats, la Suisse, en qualité d'Etat requis, ne peut mettre en doute les allégations de la France, en qualité d'Etat requérant, à moins d'un doute sérieux (cf. consid. 3.4.2 supra), qui n'est pas réalisé en l'espèce. Les recourants n'amènent en effet aucun élément établi et concret à même de renverser la présomption de bonne foi de l'Etat requérant. Il n'y a en conséquence pas lieu d'adresser de demande d'éclaircissement à la DGFiP, la conclusion y relative des recourants étant rejetée.</w:t>
      </w:r>
    </w:p>
    <w:p>
      <w:r>
        <w:rPr>
          <w:b/>
        </w:rPr>
        <w:t>E. 6.1.5</w:t>
      </w:r>
    </w:p>
    <w:p>
      <w:r>
        <w:t>Partant, le grief tiré de la violation du principe de la bonne foi en lien avec l'utilisation de données volées est rejeté.</w:t>
      </w:r>
    </w:p>
    <w:p>
      <w:r>
        <w:rPr>
          <w:b/>
        </w:rPr>
        <w:t>E. 6.2.1</w:t>
      </w:r>
    </w:p>
    <w:p>
      <w:r>
        <w:t>Au moyen d'un second et dernier grief, les recourants plaident que les informations les concernant ne rempliraient pas la condition de la pertinence vraisemblable. Se référant aux art. L.169 et L.181-0A du Livre des procédures fiscales français, ils soutiennent que la prescription décennale de droit français serait acquise pour, à tout le moins, l'année 2010. Or, la relation bancaire aurait été clôturée au mois de (...) 2010, à la date de la dissolution de la Fondation D._______ qui en était titulaire (cf. pièces 1 et 2 du bordereau des recourants). Les renseignements demandés ne seraient dès lors d'aucune utilité pour l'autorité requérante. Arguant que la pertinence vraisemblable des informations requises devrait être examinée avec une grande circonspection dans le cas d'espèce - la demande se fondant sur des données remontant à 2006 et 2008 - les recourants estiment avoir démontré que les renseignements ne sont d'aucune pertinence pour le fisc français.</w:t>
      </w:r>
    </w:p>
    <w:p>
      <w:r>
        <w:rPr>
          <w:b/>
        </w:rPr>
        <w:t>E. 6.2.2</w:t>
      </w:r>
    </w:p>
    <w:p>
      <w:r>
        <w:t>Il convient de rappeler que la procédure d'assistance administrative ne tranche pas matériellement l'affaire. Il appartient ainsi à chaque Etat d'interpréter sa propre législation et de contrôler la manière dont celle-ci est appliquée, l'Etat requis n'ayant pas à examiner les objections liées au bien-fondé de la procédure fiscale étrangère ou aux éventuels obstacles procéduraux qui, selon le droit de l'Etat requérant, empêcheraient l'utilisation des renseignements requis (ATF 144 II 206 consid. 4.3 ; arrêts du TAF A-641/2021 du 5 octobre 2021 consid. 5.5 et A-1864/2019 du 10 septembre 2021 consid. 5.5). Les recourants font donc fausse route, la pertinence vraisemblable des informations requises n'ayant pas à être examinée à la lumière de l'éventuelle acquisition de la prescription du droit de reprise en France. Plus encore, notre Haute Cour, dans un arrêt récent, s'est prononcée sur les conséquences de la survenance de la prescription sur la condition de la pertinence vraisemblable : les renseignements sont vraisemblablement pertinents tant qu'il n'apparaît pas clairement, au moment où la demande est formulée, que la prescription étrangère est déjà acquise pour la période visée. L'acquisition de la prescription en cours de procédure ne change donc rien à la pertinence vraisemblable des informations requises, à l'exception du cas où il apparaîtrait que des principes élémentaires de procédure pourraient être violés dans la procédure étrangère en relation avec la prescription. Sous cette seule réserve, les renseignements requis remplissent la condition de la pertinence vraisemblable et il incombe à la personne concernée de soulever, le cas échéant, l'exception de prescription dans le cadre de la procédure fiscale étrangère (arrêt du TF 2C_662/2021, 2C_663/2021 du 18 mars 2022 consid. 5.4 à 5.6). Cette jurisprudence, qui lie la Cour (cf. consid. 1.4.3 supra), est pleinement applicable à la présente cause. Il en découle que l'éventuelle acquisition de la prescription décennale en cours de procédure ne change rien au caractère vraisemblablement pertinent des renseignements requis, d'autant que les recourants ne soutiennent pas que la prescription ne pourrait pas être invoquée devant les autorités françaises, ou que d'autres principes élémentaires de procédure pourraient être violés par l'Etat français. Leur grief est en conséquence rejeté.</w:t>
      </w:r>
    </w:p>
    <w:p>
      <w:r>
        <w:rPr>
          <w:b/>
        </w:rPr>
        <w:t>E. 6.3</w:t>
      </w:r>
    </w:p>
    <w:p>
      <w:r>
        <w:t>Pour le surplus, rien n'indique - et les recourants ne le prétendent pas - que les autres conditions matérielles de l'assistance administrative ne seraient pas respectées.</w:t>
      </w:r>
    </w:p>
    <w:p>
      <w:r>
        <w:rPr>
          <w:b/>
        </w:rPr>
        <w:t>E. 7.1</w:t>
      </w:r>
    </w:p>
    <w:p>
      <w:r>
        <w:t>Compte tenu de ce qui précède, le recours est rejeté dans la mesure où il est recevable. 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a contrario PA et art. 7 al. 1 a contrario FITAF).</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