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F-1317/2021 vom 27. April 2023</w:t>
      </w:r>
    </w:p>
    <w:p>
      <w:r>
        <w:t>Bundesverwaltungsgericht, 2023-04-27, FR</w:t>
      </w:r>
    </w:p>
    <w:p>
      <w:r>
        <w:rPr>
          <w:b/>
        </w:rPr>
        <w:t xml:space="preserve">Quelle: </w:t>
      </w:r>
      <w:r>
        <w:t>https://mcp.opencaselaw.ch/entscheid/bvger_F-1317_2021</w:t>
      </w:r>
    </w:p>
    <w:p>
      <w:r>
        <w:t>FR: TAF F-1317/2021 du 27 avril 2023</w:t>
      </w:r>
    </w:p>
    <w:p>
      <w:r>
        <w:t>IT: TAF F-1317/2021 del 27 aprile 2023</w:t>
      </w:r>
    </w:p>
    <w:p>
      <w:pPr>
        <w:pStyle w:val="Heading2"/>
      </w:pPr>
      <w:r>
        <w:t>Regeste</w:t>
      </w:r>
    </w:p>
    <w:p>
      <w:r>
        <w:t>Assistance administrative</w:t>
      </w:r>
    </w:p>
    <w:p>
      <w:pPr>
        <w:pStyle w:val="Heading2"/>
      </w:pPr>
      <w:r>
        <w:t>Erwägungen</w:t>
      </w:r>
    </w:p>
    <w:p>
      <w:r>
        <w:rPr>
          <w:b/>
        </w:rPr>
        <w:t>E. 5.1.1</w:t>
      </w:r>
    </w:p>
    <w:p>
      <w:r>
        <w:t>Pour ce qui est des conditions de fond, la recourante argue en premier lieu que les informations la concernant ne rempliraient pas la condition de la pertinence vraisemblable dès lors qu'elle n'aurait pas été fiscalement domiciliée en France durant la période visée, mais (...). Selon elle, les pièces qu'elle a versées en cause (notamment une demande de dérogation permettant le transfert du compte du « Desk [...] » au « Desk [...] », ainsi que des cartes de résident de son mari) démontreraient qu'elle n'a jamais été résidente fiscale en France. L'intéressée soutient que le Tribunal de céans devrait revenir sur sa jurisprudence selon laquelle cet argument serait à invoquer devant les autorités de l'Etat de son domicile. Elle met en avant que la question de la pertinence vraisemblable devrait faire l'objet de deux examens distincts, soit un premier s'agissant de la demande d'assistance de manière générale, puis d'un second, au cours duquel chaque personne concernée devrait avoir la possibilité de renverser cette présomption dans leur cas particulier. Elle en conclut que la preuve par pièces fournie ne laisserait pas de place au doute, s'agissant de la condition de la pertinence vraisemblable des informations requises, qui ne serait pas remplie dans le cas d'espèce.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5.1.3</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la recourante fait valoir avoir été domiciliée fiscalement durant la période sous contrôle n'a pas à être examinée par la Cour de céans. Au vu de tout ce qui précède, le grief invoqué par la recourante doit être rejeté.</w:t>
      </w:r>
    </w:p>
    <w:p>
      <w:r>
        <w:rPr>
          <w:b/>
        </w:rPr>
        <w:t>E. 5.2.1</w:t>
      </w:r>
    </w:p>
    <w:p>
      <w:r>
        <w:t>Au moyen d'un troisième grief, la recourante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w:t>
      </w:r>
    </w:p>
    <w:p>
      <w:r>
        <w:rPr>
          <w:b/>
        </w:rPr>
        <w:t>E. 5.2.2</w:t>
      </w:r>
    </w:p>
    <w:p>
      <w:r>
        <w:t>A l'appui de son grief, la recourante avance que la bonne foi subjective devait lui permettre d'exiger que les autorités suisses demandent des éclaircissements à l'autorité requérante si la mauvaise foi de cette dernière était rendue vraisemblable. En l'espèce, il existait des indices que l'autorité requérante se soit fondée sur des renseignements obtenus par des actes punissables au regard du droit suisse. L'AFC détenait des précisions qui étaient susceptibles d'écarter tout doute quant à une violation du principe de bonne foi, à savoir une déclaration des autorités allemandes dans le cadre d'une procédure d'assistance administrative parallèle en cours, une prise de position soumise par la banque B._______ dans le cadre d'une enquête diligentée par le Ministère public de la Confédération, ainsi qu'un mandat de perquisition émis par le parquet de Bochum le 2 juillet 2013 en rapport avec les perquisitions au siège de B._______ Deutschland à Francfort et auprès d'autres sites en Allemagne. Dans la décision attaquée, l'autorité inférieure avait relevé qu'il y avait eu une condamnation pénale par le Tribunal pénal fédéral pour espionnage économique. En outre, la décision attaquée n'indiquait pas clairement si des enquêtes ou procédures pénales en Suisse étaient en cours en relation avec les faits à l'origine de l'obtention de ces listes par la France. Si cela s'avérait être le cas, l'AFC aurait dû suspendre la procédure d'assistance administrative jusqu'à droit connu dans ces procédures pénales. Ainsi, l'autorité intimée se fondait sur une rupture du lien de causalité entre une éventuelle infraction de droit suisse et l'obtention de la liste de numéros par le fisc français. Or, faute d'explication et d'accès aux pièces relatives à cette affaire, il n'était pas possible aux personnes concernées de se convaincre de l'absence d'acte punissable au sens de l'art. 7 let. c LAAF.</w:t>
      </w:r>
    </w:p>
    <w:p>
      <w:r>
        <w:rPr>
          <w:b/>
        </w:rPr>
        <w:t>E. 5.3</w:t>
      </w:r>
    </w:p>
    <w:p>
      <w:r>
        <w:t>A titre liminaire, la Cour de céans relève qu'il ressort de l'état de fait de la requête qu'une enquête diligentée par le parquet de Bochum et des visites domiciliaires effectuées dans les succursales allemandes de la banque B._______ en mai 2012 et juillet 2013 ont abouti à la saisie de données concernant des contribuables français liés à des comptes ouverts auprès de la banque B._______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B._______ Deutschland à Francfort. Le serveur de sauvegarde comprenait des sauvegardes des ordinateurs des employés de B._______ Deutschland,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B._______ dans le cadre de cette enquête, le Land allemand de Rhénanie du Nord-Westphalie aurait acheté en août 2012 un CD de données contenant les informations sur des clients enregistrés auprès de la banque B._______ en Suisse. Sur la base de ce CD de données, les autorités allemandes auraient mené des enquêtes contre de nombreux clients allemands de la banque B._______. C'est dans le cadre de ces enquêtes que le parquet de Bochum aurait procédé à diverses perquisitions au siège de B._______ Deutschland à Francfort et auprès d'autres sites de B._______ en Allemagne. Lors de la perquisition au siège de la banque B._______ Deutschland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B._______ dans le cadre de la présente procédure d'assistance administrative (cf. Décision finale de l'AFC, ch. 6.4).</w:t>
      </w:r>
    </w:p>
    <w:p>
      <w:r>
        <w:rPr>
          <w:b/>
        </w:rPr>
        <w:t>E. 5.3.1</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5.3.1.1 à 5.3.2 ci-après.</w:t>
      </w:r>
    </w:p>
    <w:p>
      <w:r>
        <w:rPr>
          <w:b/>
        </w:rPr>
        <w:t>E. 5.3.1.1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B._______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ne le soutient à juste titre pas.</w:t>
      </w:r>
    </w:p>
    <w:p>
      <w:r>
        <w:rPr>
          <w:b/>
        </w:rPr>
        <w:t>E. 5.3.1.2</w:t>
      </w:r>
    </w:p>
    <w:p>
      <w:r>
        <w:t>Quant à l'existence d'un lien de causalité entre les données prétendument volées et la demande d'assistance administrative dont se prévaut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la chaîne de causalité a été rompue par des facteurs externes, tels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B._______, qui ont ensuite été communiquées à la France sur la base de la Directive n°2011/16/UE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et 5.1.2 supra).</w:t>
      </w:r>
    </w:p>
    <w:p>
      <w:r>
        <w:rPr>
          <w:b/>
        </w:rPr>
        <w:t>E. 5.3.2</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6.1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