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F-1273/2023 vom 1. November 2024</w:t>
      </w:r>
    </w:p>
    <w:p>
      <w:r>
        <w:t>Bundesverwaltungsgericht, 2024-11-01, DE</w:t>
      </w:r>
    </w:p>
    <w:p>
      <w:r>
        <w:rPr>
          <w:b/>
        </w:rPr>
        <w:t xml:space="preserve">Quelle: </w:t>
      </w:r>
      <w:r>
        <w:t>https://mcp.opencaselaw.ch/entscheid/bvger_F-1273_2023</w:t>
      </w:r>
    </w:p>
    <w:p>
      <w:r>
        <w:t>FR: TAF F-1273/2023 du 1 novembre 2024</w:t>
      </w:r>
    </w:p>
    <w:p>
      <w:r>
        <w:t>IT: TAF F-1273/2023 del 1 novembre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Abs.1 AIG [SR 142.20] i.V.m. Art. 31 ff. VGG). Das Rechtsmittelverfahren richtet</w:t>
      </w:r>
    </w:p>
    <w:p>
      <w:r>
        <w:t>F-1273/2023 Seite 3 sich nach dem VwVG, soweit das VGG nichts anderes bestimmt (Art. 37 VGG).</w:t>
      </w:r>
    </w:p>
    <w:p>
      <w:r>
        <w:rPr>
          <w:b/>
        </w:rPr>
        <w:t>E. 1.2</w:t>
      </w:r>
    </w:p>
    <w:p>
      <w:r>
        <w:t>Die Beschwerdeführenden haben am vorangegangenen Einsprache- verfahren teilgenommen und sind als Gastgeber des Gesuchstellers durch den angefochtenen Entscheid besonders berührt. Obwohl der ursprünglich angestrebte Besuchszeitraum inzwischen abgelaufen ist, kann auf ein fort- bestehendes Rechtsschutzinteresse geschlossen werden. Die Beschwer- deführenden sind daher zur Erhebung des Rechtsmittels legitimiert (Art. 48 Abs. 1 VwVG). Auf die im Übrigen frist- und formgerecht eingereichte Be- schwerde ist einzutreten (Art. 50 Abs. 1 und 52 Abs. 1 VwVG).</w:t>
      </w:r>
    </w:p>
    <w:p>
      <w:r>
        <w:rPr>
          <w:b/>
        </w:rPr>
        <w:t>E. 1.3</w:t>
      </w:r>
    </w:p>
    <w:p>
      <w:r>
        <w:t>In der vorliegenden Beschwerdeangelegenheit entscheidet das Bun- desverwaltungsgericht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Massgeblich ist grundsätzlich die Sachlage zum Zeit- punkt seines Entscheids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w:t>
      </w:r>
    </w:p>
    <w:p>
      <w:r>
        <w:t>F-1273/2023 Seite 4 EU:C:2013:862,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w:t>
      </w:r>
    </w:p>
    <w:p>
      <w:r>
        <w:rPr>
          <w:b/>
        </w:rPr>
        <w:t>E. 3.3</w:t>
      </w:r>
    </w:p>
    <w:p>
      <w:r>
        <w:t>Im Weiteren müssen Drittstaatsangehörige den Zweck und die Um- stände ihres beabsichtigten Aufenthalts belegen und hierfür über ausrei- chende finanzielle Mittel verfügen. Sie dürfen nicht im Schengener Infor- mationssystem (SIS II) zur Einreiseverweigerung ausgeschrieben sein und keine Gefahr für die öffentliche Ordnung, die innere Sicherheit, die öffentli- che Gesundheit oder die internationalen Beziehungen eines Mitgliedstaats darstellen (vgl. zum Ganzen: Art. 5 Abs. 1 und 2 AIG; Art. 3 Abs. 1 der Ver- ordnung vom 15. August 2018 über die Einreise und die Visumerteilung [VEV, SR 142.204] i.V.m. Art. 6 Abs. 1 und 2 der Verordnung [EG] Nr. 2016/399 des Europäischen Parlaments und des Rates vom 9. März 2016 [kodifizierter Text] über einen Gemeinschaftskodex für das Über- schreiten der Grenzen durch Personen [nachfolgend: Schengener Grenz- kodex, SGK, ABl. L 77/1 vom 23.03.2016]; Art. 14 Abs. 1 und Art. 21 Abs. 1 der Verordnung [EG] Nr. 810/2009 des Europäischen Parlaments und des Rates vom 13. Juli 2009 über einen Visakodex der Gemeinschaft [nachfolgend: Visakodex, VK, Abl. L 243 vom 15.9.2009]).</w:t>
      </w:r>
    </w:p>
    <w:p>
      <w:r>
        <w:rPr>
          <w:b/>
        </w:rPr>
        <w:t>E. 3.4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w:t>
      </w:r>
    </w:p>
    <w:p>
      <w:r>
        <w:t>F-1273/2023 Seite 5 Visum wird verweigert, wenn begründete Zweifel an der Echtheit der von dem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3.5</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4.1</w:t>
      </w:r>
    </w:p>
    <w:p>
      <w:r>
        <w:t>Aufgrund seiner türkischen Staatsangehörigkeit unterliegt der Gesuch- steller der Visumspflicht. Bei der Prüfung der Einreisevoraussetzungen nach Art. 6 Abs. 1 SGK ist die Frage der gesicherten Wiederausreise zent- ral.</w:t>
      </w:r>
    </w:p>
    <w:p>
      <w:r>
        <w:rPr>
          <w:b/>
        </w:rPr>
        <w:t>E. 4.2</w:t>
      </w:r>
    </w:p>
    <w:p>
      <w:r>
        <w:t>Die Vorinstanz begründet die Abweisung der Einsprache unter ande- rem damit, der Gesuchsteller stamme aus einer Region, aus welcher als Folge der dort herrschenden Verhältnisse der Zuwanderungsdruck nach wie vor stark anhalte. Im Weiteren seien keine beruflichen, familiären oder gesellschaftlichen Verpflichtungen ersichtlich, die besondere Gewähr für die Wiederausreise nach seinem Aufenthalt bieten könnten.</w:t>
      </w:r>
    </w:p>
    <w:p>
      <w:r>
        <w:rPr>
          <w:b/>
        </w:rPr>
        <w:t>E. 4.3</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4.3.1</w:t>
      </w:r>
    </w:p>
    <w:p>
      <w:r>
        <w:t>Der Gesuchsteller stammt aus der in Südostanatolien gelegenen Stadt Gaziantep. Bezeichnend für die wirtschaftliche Lage und Entwicklung der Türkei ist die Kluft zwischen Stadt und Land beziehungsweise West-</w:t>
      </w:r>
    </w:p>
    <w:p>
      <w:r>
        <w:t>F-1273/2023 Seite 6 und Osttürkei. Der wirtschaftliche Aufschwung und die Modernisierung seit den neunziger Jahren beschränken sich vor allem auf die städtischen Ge- biete der Westtürkei. Insbesondere der Südosten bleibt trotz Anstrengun- gen des türkischen Staats, die südöstlichen Gebiete durch Projekte wie das Südostanatolien-Projekt wirtschaftlich besser zu integrieren und am Aufschwung teilhaben zu lassen, hinter dieser positiven Entwicklung zu- rück (vgl. Centrum für angewandte Politikforschung, Wirtschaftliche Ent- wicklung in der Türkei, https://www.cap-lmu.de/themen/tuerkei/wirt- schaft/entwicklung.php, abgerufen am 17. Oktober 2024). Die Türkei sel- ber befindet sich sodann in einer schwierigen wirtschaftlichen Lage, auch wenn deren Wirtschaft infolge der Konsumausgaben der Bevölkerung und den Staatsausgaben derzeit ein Wachstum aufweist. Die Inflation bleibt sehr hoch. Im Juli 2024 sind die Preise um 61.8 Prozent im Vergleich zum Vorjahresmonat gestiegen (vgl. statista, das Statistik-Portal, https://de.sta- tista.com/statistik/daten/studie/987938/umfrage/monatliche-inflationsrate- in-der-tuerkei/, abgerufen am 17. Oktober 2024). Zur Sicherheitslage im Südosten und Osten der Türkei ist zu erwähnen, dass der Konflikt zwi- schen den türkischen Sicherheitskräften und der PKK (Arbeiterpartei Kur- distans) weiter andauert. Vereinzelt kommt es zu bewaffneten Zusammen- stössen, vor allem in ländlichen Gegenden. Die bewaffneten Konflikte in Syrien und Irak können sich auf die angrenzenden türkischen Gebiete aus- wirken, zum Beispiel durch vereinzelte Granaten- und Raketenbeschüsse aus dem Kriegsgebiet. Wiederholt sind Anschläge gegen zivile Ziele verübt worden. Das Risiko von Entführungen durch terroristische Gruppierungen aus Syrien kann im Grenzgebiet nicht ausgeschlossen werden (Eidgenös- sisches Departement für auswärtige Angelegenheiten EDA, Reisehinweise für die Türkei, 3. Mai 2024, https://www.eda.admin.ch/eda/de/home/laen- der-reise-information/tuerkei/reisehinweise-tuerkei.html#eda1738ed, ab- gerufen am 17. Oktober 2024).</w:t>
      </w:r>
    </w:p>
    <w:p>
      <w:r>
        <w:rPr>
          <w:b/>
        </w:rPr>
        <w:t>E. 4.3.2</w:t>
      </w:r>
    </w:p>
    <w:p>
      <w:r>
        <w:t>Angesichts dieser Umstände ist nicht zu beanstanden, wenn die Vorinstanz das Risiko einer nicht fristgerechten Wiederausreise des Ge- suchstellers in Bezug auf die Region in der Türkei, aus der er stammt, als grundsätzlich hoch einschätzte.</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w:t>
      </w:r>
    </w:p>
    <w:p>
      <w:r>
        <w:t>F-1273/2023 Seite 7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Sodann ist erfah- rungsgemäss das Risiko dort erhöht, wo durch die Anwesenheit von Ver- wandten oder Freunden in der Schweiz bereits ein soziales Beziehungs- netz besteht (BVGE 2014/1 E. 6.2.2).</w:t>
      </w:r>
    </w:p>
    <w:p>
      <w:r>
        <w:rPr>
          <w:b/>
        </w:rPr>
        <w:t>E. 4.4.1</w:t>
      </w:r>
    </w:p>
    <w:p>
      <w:r>
        <w:t>In Bezug auf die wirtschaftlichen Verhältnisse des Gesuchstellers in der Türkei ist festzustellen, dass dieser im Antragsformular bei der berufli- chen Tätigkeit «Employed, Blue-Collar Worker» angegeben hat. Gemäss den eingereichten Lohnabrechnungen für den Juni, Juli und August 2022 arbeitet er bei einem Speisegewürzhersteller. Der ausgezahlte Lohn ist mit rund 8'000 Türkischen Lira pro Monat (derzeit rund Fr. 200.–) relativ nied- rig. Sodann verfügt er gemäss einem im vorinstanzlichen Verfahren einge- reichten Kontoauszug vom 22. September 2022 über ein Bankkonto. Per 22. September 2022 wurden darauf 150’000 türkische Lira (derzeit rund Fr. 3’780.–) eingezahlt, wobei das Bankkonto zuvor noch einen Minussaldo aufwies. Vor dem Hintergrund, dass die Überweisung gerade einmal eine Woche vor der Stellung des Antrags für das Schengen-Visum erfolgte, be- stehen berechtigte Zweifel, dass es sich bei dem überwiesenen Betrag um selbsterwirtschaftetes Vermögen handelt. Einen hinreichenden Beleg einer sicheren wirtschaftlichen Existenz in der Türkei, welche ihn von einer Emig- ration abhalten könnte, bleibt er jedenfalls schuldig.</w:t>
      </w:r>
    </w:p>
    <w:p>
      <w:r>
        <w:rPr>
          <w:b/>
        </w:rPr>
        <w:t>E. 4.4.2</w:t>
      </w:r>
    </w:p>
    <w:p>
      <w:r>
        <w:t>Weiter ist der 23-jährige Gesuchsteller unverheiratet und hat keine Kinder. Über die weiteren Lebensverhältnisse in der Heimat sind weder den Gesuchsunterlagen noch der Rechtsmitteleingabe zusätzliche Angaben zu entnehmen. Vor diesem Hintergrund kann nicht davon ausgegangen wer- den, im persönlichen oder familiären Umfeld des Gesuchstellers seien Ver- pflichtungen oder gar Abhängigkeiten vorhanden, die besondere Gewähr für eine Rückkehr ins Heimatland bieten könnten.</w:t>
      </w:r>
    </w:p>
    <w:p>
      <w:r>
        <w:rPr>
          <w:b/>
        </w:rPr>
        <w:t>E. 4.4.3</w:t>
      </w:r>
    </w:p>
    <w:p>
      <w:r>
        <w:t>Schliesslich ist zu beachten, dass es sich bei den Beschwerdefüh- renden um nähere Familienangehörige des Gesuchstellers (Onkel bzw. Tante) handelt. Sodann scheinen weitere Bekannte oder Verwandte des Gesuchstellers in der Schweiz zu leben (siehe die verschiedenen Unter- schriften im Einladungsschreiben vom 20. Oktober 2022). Vor diesem</w:t>
      </w:r>
    </w:p>
    <w:p>
      <w:r>
        <w:t>F-1273/2023 Seite 8 Hintergrund erscheint es nicht ausgeschlossen, dass mit dem Einreisebe- gehren nicht bloss ein Besuchsaufenthalt, sondern eine längere Anwesen- heit in der Schweiz beabsichtigt sein könnte.</w:t>
      </w:r>
    </w:p>
    <w:p>
      <w:r>
        <w:rPr>
          <w:b/>
        </w:rPr>
        <w:t>E. 4.5</w:t>
      </w:r>
    </w:p>
    <w:p>
      <w:r>
        <w:t>Vor dem dargelegten allgemeinen und persönlichen Hintergrund ist demnach nicht davon auszugehen, die Wiederausreise des Gesuchstellers sei im Sinne der massgeblichen Bestimmungen gesichert. An dieser Ein- schätzung ändert auch die Tatsache nichts, dass die Beschwerdeführen- den eine Verpflichtungserklärung abgegeben und damit ihr Vertrauen in ein rechtskonformes Verhalten ihres Gastes zum Ausdruck gebracht haben. Bei der Risikobeurteilung ist in erster Linie das mögliche Verhalten des Gastes selbst von Bedeutung. Gastgeber können mit rechtlich verbindli- cher Wirkung zwar für gewisse finanzielle Risiken im Zusammenhang mit dem Besuchsaufenthalt, nicht aber für ein bestimmtes Tun oder Unterlas- sen ihres Gastes einstehen (vgl. BVGE 2009/27 E. 9).</w:t>
      </w:r>
    </w:p>
    <w:p>
      <w:r>
        <w:rPr>
          <w:b/>
        </w:rPr>
        <w:t>E. 4.6</w:t>
      </w:r>
    </w:p>
    <w:p>
      <w:r>
        <w:t>Aus dem gleichen Grund kann auch nicht entscheidend sein, dass be- reits der ältere Bruder sowie der Vater des Gesuchstellers die Beschwer- deführenden in der Schweiz besucht haben und beide fristgerecht wieder in ihr Heimatland zurückgekehrt sind, lässt doch auch dieser Umstand keine Rückschlüsse auf ein zukünftiges Verhalten des Gesuchstellers zu (vgl. Urteil des BVGer C-6602/2013 vom 14. Mai 2014 E. 7). Wie die Vorinstanz in ihrer Vernehmlassung vom 15. August 2023 erwähnte, ver- fügte der ältere Bruder ausserdem über mehr Vermögen und arbeitete in einem Unternehmen in leitender Stellung. Insofern lässt sich jener Fall nicht ohne Weiteres auf den vorliegenden übertragen. Der durchaus ver- ständliche Wunsch der Beschwerdeführenden, dem Gesuchsteller die Schweiz und ihre Sehenswürdigkeiten zu zeigen und ihn bei sich zu Be- such zu haben, hat demnach in den Hintergrund zu treten. Den Beschwer- deführenden steht soweit ersichtlich weiterhin die Möglichkeit offen, den Gesuchsteller in dessen Heimatland zu besuchen.</w:t>
      </w:r>
    </w:p>
    <w:p>
      <w:r>
        <w:rPr>
          <w:b/>
        </w:rPr>
        <w:t>E. 5</w:t>
      </w:r>
    </w:p>
    <w:p>
      <w:r>
        <w:t>Gründe humanitärer oder anderer Art, welche die Erteilung eines Visums mit räumlich beschränkter Gültigkeit (vgl. E. 3.5) rechtfertigen würden, ma- chen die Beschwerdeführenden nicht geltend und sind auch nicht ersicht- lich.</w:t>
      </w:r>
    </w:p>
    <w:p>
      <w:r>
        <w:rPr>
          <w:b/>
        </w:rPr>
        <w:t>E. 6</w:t>
      </w:r>
    </w:p>
    <w:p>
      <w:r>
        <w:t>Gestützt auf die obigen Erwägungen erweist sich die Verweigerung der Ausstellung des Visums durch die Vorinstanz als rechtmässig. Die</w:t>
      </w:r>
    </w:p>
    <w:p>
      <w:r>
        <w:t>F-1273/2023 Seite 9 angefochtene Verfügung ist somit im Lichte von Art. 49 VwVG nicht zu be- anstanden. Die Beschwerde ist demnach abzuweisen.</w:t>
      </w:r>
    </w:p>
    <w:p>
      <w:r>
        <w:rPr>
          <w:b/>
        </w:rPr>
        <w:t>E. 7</w:t>
      </w:r>
    </w:p>
    <w:p>
      <w:r>
        <w:t>Bei diesem Ausgang des Verfahrens sind die Kosten den Beschwerdefüh- renden aufzuerlegen und auf Fr. 800.– festzulegen (vgl. Art. 63 Abs. 1 VwVG i.V.m. Art. 1 ff. des Reglements vom 21. Februar 2008 über die Kos- ten und Entschädigungen vor dem Bundesverwaltungsgericht [VGKE, SR 173.320.2]). Sie sind durch den in gleicher Höhe geleisteten Kosten- vorschuss gedeckt. (Dispositiv nächste Seite)</w:t>
      </w:r>
    </w:p>
    <w:p>
      <w:r>
        <w:t>F-1273/2023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