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F-1267/2020 vom 28. September 2020</w:t>
      </w:r>
    </w:p>
    <w:p>
      <w:r>
        <w:t>Bundesverwaltungsgericht, 2020-09-28, DE</w:t>
      </w:r>
    </w:p>
    <w:p>
      <w:r>
        <w:rPr>
          <w:b/>
        </w:rPr>
        <w:t xml:space="preserve">Quelle: </w:t>
      </w:r>
      <w:r>
        <w:t>https://mcp.opencaselaw.ch/entscheid/bvger_F-1267_2020</w:t>
      </w:r>
    </w:p>
    <w:p>
      <w:r>
        <w:t>FR: TAF F-1267/2020 du 28 septembre 2020</w:t>
      </w:r>
    </w:p>
    <w:p>
      <w:r>
        <w:t>IT: TAF F-1267/2020 del 28 settembre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des Gesuchstellers durch die angefochtene Verfügung besonders berührt. Obwohl der anberaumte Besuchszeitraum inzwischen abgelaufen ist, muss auf ein fortbestehendes Rechtsschutzinteresse geschlossen werden. Dies belegt allein schon die Einreichung des Rechtsmittels. Die Beschwerdeführenden sind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w:t>
      </w:r>
    </w:p>
    <w:p>
      <w:r>
        <w:rPr>
          <w:b/>
        </w:rPr>
        <w:t>E. 3.1</w:t>
      </w:r>
    </w:p>
    <w:p>
      <w:r>
        <w:t>Der angefochtenen Verfügung liegt das Gesuch eines nepalesischen Staatsangehörigen um Erteilung eines Visums zu Besuchszwecken für die Schweiz zugrunde. Da sich der Gesuchsteller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(SR 142.20) und seine Ausführungsbestimmungen gelangen nur insoweit zur Anwendung, als die Schengen-Assoziierungsabkommen keine abweichenden Bestimmungen enthalten (vgl.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vom 8. März 2002 zum Bundesgesetz über Ausländerinnen und Ausländer, BBl 2002 3774).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 wie im Falle des aus Nepal stammenden Gesuchstellers - erforderlich ist (vgl. Anhang I zur Verordnung (EU) 2018/1806, ABl. L 303/39 vom 28.11.2018; zum vollständigen Quellennachweis vgl. Fussnote zu Art. 8 Abs. 1 der Verordnung vom 15. August 2018 über die Einreise und die Visumerteilung [VEV, SR 142.204]).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3.4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4.1</w:t>
      </w:r>
    </w:p>
    <w:p>
      <w:r>
        <w:t>Die Vorinstanz hält die gesicherte und fristgerechte Wiederausreise des Gesuchstellers für nicht gewährleistet. 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Mit einem jährlichen Pro-Kopf-Einkommen von umgerechnet Fr. 950.- ist Nepal eines der ärmsten Länder der Welt. Die politische Situation, der Mangel an ausgebildeten Arbeitskräften und die schwache Infrastruktur behindern die wirtschaftliche Entwicklung des Landes. Das gesamtwirtschaftliche Wachstum bewegte sich in den letzten Jahren zwischen zwei und vier Prozent und war damit zu niedrig, um die Armut substanziell zu reduzieren. Die Entwicklung Nepals wird durch immer häufiger auftretende Naturkatastrophen - wie Überschwemmungen und Erdrutsche - gebremst. Im April 2015 erschütterte ein schweres Erdbeben das Land und brachte die Wirtschaft über längere Zeit zum Erliegen. Darüber hinaus traf die Corona-Krise - trotz bislang vergleichsweise niedrigen Infektionszahlen - das Land schwer. Eine mehrere Monate andauernde strenge Ausgangssperre trieb zahlreiche Menschen in eine finanzielle Notlage (vgl. zum Ganzen www.liportal.de/nepal/wirtschaft-entwicklung &gt;, Stand: Juli 2020, abgerufen am 27. August 2020).</w:t>
      </w:r>
    </w:p>
    <w:p>
      <w:r>
        <w:rPr>
          <w:b/>
        </w:rPr>
        <w:t>E. 4.3</w:t>
      </w:r>
    </w:p>
    <w:p>
      <w:r>
        <w:t>Vor diesem Hintergrund ist nicht zu beanstanden, dass die Vorinstanz das Risiko einer nicht fristgerechten Wiederausreise von Besuchern aus Nepal grundsätzlich als hoch einstuft, insbesondere wenn im Ausland bereits ein gewisses familiäres Beziehungsnetz besteht.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hinsichtlich der Absicht einer gesuchstellenden Person, den Schengen-Raum fristgerecht zu verlassen, deren persönliche, familiäre und berufliche bzw. wirtschaftliche Situation sowie deren Interessenlage miteinzubeziehen.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4.4</w:t>
      </w:r>
    </w:p>
    <w:p>
      <w:r>
        <w:t>Beim Gesuchsteller handelt es sich um einen 29-jährigen, ledigen Mann. Bezüglich seiner privaten Situation lässt sich den Akten entnehmen, dass er seit mehr als fünf Jahren in einer festen Beziehung lebt, seine Partnerin gemäss Arztbericht vom 12. Juli 2020 Ende Jahr ein Kind von ihm erwartet und sie demnächst heiraten wollen (BVGer act. 1 und 8). In Anbetracht der bevorstehenden Geburt seines Kindes dürfte der Gesuchsteller durchaus familiäre Verpflichtungen im Heimatland haben. Dieser Umstand bildet für sich allein aber noch keine Garantie für eine anstandslose und fristgerechte Wiederausreise nach einem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Interessenlage in Kauf genommen. Dies umso eher, wenn die Betreuung des zukünftigen Kindes durch nahe Angehörige - in casu dessen leibliche Mutter sowie deren Eltern - sichergestellt werden kann und die Hoffnung besteht, die Zurückgebliebenen aus dem Ausland besser unterstützen und später nachziehen zu können (vgl. Urteil des BVGer F-1520/2019 vom 16. Oktober 2019 E. 8.1). Die familiären und persönlichen Verpflichtungen sind daher nicht so beschaffen, dass sie den Gesuchsteller in nachhaltiger Weise von einer Emigration abhalten könnten.</w:t>
      </w:r>
    </w:p>
    <w:p>
      <w:r>
        <w:rPr>
          <w:b/>
        </w:rPr>
        <w:t>E. 4.5</w:t>
      </w:r>
    </w:p>
    <w:p>
      <w:r>
        <w:t>Vor diesem Hintergrund ist der wirtschaftlichen Situation des Gesuchstellers ein besonderes Augenmerk zu widmen. Gemäss seinen Angaben im Antrag auf Erteilung eines Schengen-Visums arbeitet er als Marketing Manager beim «D._______» (SEM act. 3/60). Ein Schreiben des Arbeitgebers bestätigt, dass der Gesuchsteller seit April 2014 im Unternehmen beschäftigt ist (SEM act. 3/39). Gemäss eingereichten Lohnauszügen von August bis Oktober 2019 erzielt er ein monatliches Einkommen von NPR 25'000 (ca. Fr. 190.-; SEM act. 3/37-38). Sein Einkommen liegt damit knapp über dem monatlichen Durchschnittseinkommen in Nepal, welches rund Fr. 174.- beträgt (vgl. https://de.numbeo.com/lebenshaltungskosten/land/Nepal &gt;, abgerufen am 27. August 2020). Die Erfahrung zeigt jedoch, dass aufgrund des grossen Lohngefälles zwischen der Schweiz und Staaten wie Nepal selbst ein für einheimische Verhältnisse gutes Salär nicht nachhaltig davon abhalten kann, das Heimatland dauerhaft zu verlassen. Dies auch im Hinblick auf eine soziale Absicherung in der Schweiz. Kommt hinzu, dass angesichts des ursprünglich für zwei bis drei Monate vorgesehenen Auslandsaufenthalts (SEM act. 3/45) nicht davon ausgegangen werden kann, der Eingeladene verfüge tatsächlich über eine massgebliche berufliche Verankerung in seinem Heimatland, welche die Gefahr eines Verbleibens in der Schweiz respektive im Schengen-Raum über den deklarierten Zeitraum hinaus als unwahrscheinlich erscheinen lässt. Einem eingereichten Kontoauszug der «E._______» lässt sich weiter entnehmen, dass der Gesuchsteller per 9. Dezember 2019 über ein Schlussguthaben von NPR 1'918'763.75 (ca. Fr. 14'530.-) verfügte. Dieses Guthaben resultierte grösstenteils aus im Verlaufe des Novembers erfolgten Einzahlungen. Anfangs des Monats betrug der Vermögensstand nämlich lediglich NPR 10'793.75 (ca. Fr. 80.-). Die Herkunft der getätigten Einzahlungen ist - bis auf vier Schuldenbegleichungen von Freunden - aus den Akten mehrheitlich nicht ersichtlich. Offen bleibt die Frage, ob es sich hierbei allenfalls um Unterstützungsleistungen handelt (SEM act. 3/26-34). Weitere Angaben zur finanziellen Situation des Gesuchstellers finden sich nicht in den Akten. Vor dem Hintergrund der unklar gebliebenen Vermögenssituation kann jedenfalls nicht als erstellt gelten, der Gesuchsteller lebe in wirtschaftlich günstigen oder privilegierten Verhältnissen, welche ihn verlässlich von einer Emigration abzuhalten vermöchten, zumal sämtliche mit dem Besuchsaufenthalt verbundenen Kosten von den Gastgebern übernommen würden (SEM act. 1/6 und BVGer act. 1).</w:t>
      </w:r>
    </w:p>
    <w:p>
      <w:r>
        <w:rPr>
          <w:b/>
        </w:rPr>
        <w:t>E. 5</w:t>
      </w:r>
    </w:p>
    <w:p>
      <w:r>
        <w:t>Vor dem dargelegten allgemeinen und persönlichen Hintergrund des Gesuchstellers durfte die Vorinstanz davon ausgehen, seine Wiederausreise sei im Sinne der massgeblichen Bestimmungen nicht gesichert. An der Richtigkeit dieser Einschätzung ändert auch die Tatsache nichts, dass die Beschwerdeführenden eine Verpflichtungserklärung abgegeben und damit ihr Vertrauen in ein rechtskonformes Verhalten ihres Gastes zum Ausdruck gebracht haben (SEM act. 6/73). Auch wenn ihr Wunsch, den Gesuchsteller in die Schweiz einzuladen, verständlich ist, gilt es zu bedenken, dass bei der Risikobeurteilung in erster Linie das mögliche Verhalten des Gastes selbst von Bedeutung ist. Gastgeber können zwar mit rechtlich verbindlicher Wirkung für gewisse finanzielle Risiken im Zusammenhang mit einem Besuchsaufenthalt, nicht aber für ein bestimmtes Tun oder Unterlassen ihres Gastes einstehen (vgl. in diesem Zusammenhang auch BVGE 2009/27 E. 9). Mit diesen Ausführungen fehlt es an einer unabdingbaren Voraussetzung für die Erteilung eines einheitlichen Visums für den Schengen-Raum.</w:t>
      </w:r>
    </w:p>
    <w:p>
      <w:r>
        <w:rPr>
          <w:b/>
        </w:rPr>
        <w:t>E. 6</w:t>
      </w:r>
    </w:p>
    <w:p>
      <w:r>
        <w:t>Gründe für die Ausstellung eines Visums mit räumlich beschränkter Gültigkeit (vgl. E. 3.5) wurden von den Beschwerdeführenden nicht geltend gemacht und ergeben sich auch nicht aus den Akten.</w:t>
      </w:r>
    </w:p>
    <w:p>
      <w:r>
        <w:rPr>
          <w:b/>
        </w:rPr>
        <w:t>E. 7</w:t>
      </w:r>
    </w:p>
    <w:p>
      <w:r>
        <w:t>Gestützt auf die obigen Erwägungen ist die angefochtene Verfügung im Lichte von Art. 49 VwVG nicht zu beanstanden. Die Beschwerde ist daher abzuweisen.</w:t>
      </w:r>
    </w:p>
    <w:p>
      <w:r>
        <w:rPr>
          <w:b/>
        </w:rPr>
        <w:t>E. 8</w:t>
      </w:r>
    </w:p>
    <w:p>
      <w:r>
        <w:t>Bei diesem Ausgang des Verfahrens sind die Kosten den Beschwerdeführenden aufzuerlegen und auf Fr. 900.- festzusetzen (vgl. Art. 63 Abs. 1 VwVG i.V.m. Art. 1 ff.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