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F-1261/2018 vom 30. August 2018</w:t>
      </w:r>
    </w:p>
    <w:p>
      <w:r>
        <w:t>Bundesverwaltungsgericht, 2018-08-30, DE</w:t>
      </w:r>
    </w:p>
    <w:p>
      <w:r>
        <w:rPr>
          <w:b/>
        </w:rPr>
        <w:t xml:space="preserve">Quelle: </w:t>
      </w:r>
      <w:r>
        <w:t>https://mcp.opencaselaw.ch/entscheid/bvger_F-1261_2018</w:t>
      </w:r>
    </w:p>
    <w:p>
      <w:r>
        <w:t>FR: TAF F-1261/2018 du 30 août 2018</w:t>
      </w:r>
    </w:p>
    <w:p>
      <w:r>
        <w:t>IT: TAF F-1261/2018 del 30 agosto 2018</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zur Beschwerde legitimiert (Art. 48 Abs. 1 VwVG). Obwohl der fest anberaumte Besuchszeitraum inzwischen abgelaufen ist, muss auf ein fortbestehendes Rechtschutzinteresse geschlossen werden. Dies belegt allein schon die Einreichung des Rechtsmittels. Auf die im Übrigen frist- und formgerecht eingereichte Beschwerde ist einzutreten (Art. 50 und 52 VwVG).</w:t>
      </w:r>
    </w:p>
    <w:p>
      <w:r>
        <w:rPr>
          <w:b/>
        </w:rPr>
        <w:t>E. 1.3</w:t>
      </w:r>
    </w:p>
    <w:p>
      <w:r>
        <w:t>In der vorliegenden Angelegenheit entscheidet das Bundesverwaltungsgericht endgültig (Art. 83 Bst. c Ziff. 1 BGG). 2.Mit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(vgl.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2014/1 E. 2). 3.Der angefochtenen Verfügung liegt das Gesuch einer sri-lankischen Staatsangehörigen um Erteilung eines Visums für einen dreimonatigen Aufenthalt in der Schweiz zugrunde. Da sich die Gesuchstellerin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Rechtakte übernommen hat. Das Ausländergesetz (AuG, SR 142.20) und seine Ausführungsbestimmungen gelangen nur soweit zur Anwendung, als die Schengen-Assoziierungsabkommen keine abweichenden Bestimmungen enthalten (vgl. Art. 2 Abs. 2 - 5 AuG). 4.Die Voraussetzungen für die Erteilung eines Visums präsentieren sich im Anwendungsbereich der vorerwähnten Rechtsgrundlagen wie folgt: 4.1 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(vgl. BVGE 2014/1 E. 4.1.5; a.M. Philipp Egli / Tobias D. Meyer, in: Caroni / Gächter / Thurnherr [Hrsg.], Stämpflis Handkommentar zum Bundesgesetz über die Ausländerinnen und Ausländer, Bern 2010, Art. 5 N. 3 f.). 4.2 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Fassung gemäss Änderung vom 5. April 2017, AS 2017 2549] i.V.m. Art. 6 Abs. 1 und 2 der Verordnung [EU] Nr. 2016/399 des Europäischen Parlaments und des Rates vom 9. März 2016 über einen Gemeinschaftskodex für das Überschreiten der Grenzen durch Personen [nachfolgend: Schengener Grenzkodex, SGK, ABl. L 77 vom 23.03.2016; kodifizierter Text], Art. 4 Abs. 1 VEV). 4.3 Im Weiteren müssen Drittstaatsangehörige den Zweck und die Umstände ihres beabsichtigten Aufenthalts belegen und hierfür über ausreichende finanzielle Mittel verfügen (Art. 5 Abs. 1 Bst. b AuG, Art. 2 Abs. 1 VEV, Art. 6 Abs. 1 Bst. c und Abs. 4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Egli / Meyer, a.a.O.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 4.4 Eine Gefahr für die öffentliche Ordnung im Sinne von Art. 6 Abs. 1 Bst. e SGK ist auch dann anzunehmen, wenn die drittstaatsangehörige Person nicht bereit ist, das Hoheitsgebiet des Schengen-Raums fristgerecht wieder zu verlassen (vgl. dazu Egli /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für eine gesicherte Wiederausreise, wie sie Art. 5 Abs. 2 AuG verlangt, wenn nur ein vorübergehender Aufenthalt vorgesehen ist, steht mit dieser Regelung im Einklang (vgl. BVGE 2009/27 E. 5 mit Hervorhebung des Zusammenhangs zum Einreiseerfordernis des belegten Aufenthaltszwecks nach Art. 6 Abs. 1 Bst. c SGK). 4.5 Sind die vorerwähnten Einreisevoraussetzungen (Visum ausgenommen) nicht erfüllt, darf ein für den gesamten Schengen-Raum geltendes "einheitliches Visum" (Art. 2 Ziff. 3 Visakodex) nicht erteilt werden (Art. 12 VEV, Art. 36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6 Abs. 5 Bst. c SGK).</w:t>
      </w:r>
    </w:p>
    <w:p>
      <w:r>
        <w:rPr>
          <w:b/>
        </w:rPr>
        <w:t>E. 5.1</w:t>
      </w:r>
    </w:p>
    <w:p>
      <w:r>
        <w:t>Aufgrund ihrer Staatszugehörigkeit unterliegt die Gesuchstellerin der Visumspflicht. Bei der Prüfung der Einreisevoraussetzungen nach Art. 6 Abs. 1 SGK ist die Frage der gesicherten Wiederausreise zentral. Eine solche erachtet die Vorinstanz aufgrund der allgemeinen Situation im Heimatland und der persönlichen Verhältnisse der Gesuchstellerin als nicht genügend gewährleistet.</w:t>
      </w:r>
    </w:p>
    <w:p>
      <w:r>
        <w:rPr>
          <w:b/>
        </w:rPr>
        <w:t>E. 5.2</w:t>
      </w:r>
    </w:p>
    <w:p>
      <w:r>
        <w:t>Anhaltspunkte zur Beurteilung einer Gewähr für die fristgerechte und anstandslose Wiederausreise können sich aus der allgemeinen Situation im Herkunftsland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5.3</w:t>
      </w:r>
    </w:p>
    <w:p>
      <w:r>
        <w:t>Die wirtschaftliche Entwicklung Sri Lankas weist grosse regionale Un-terschiede auf. Der ökonomische Aufschwung in den letzten Jahren ist eng mit dem Ende des Bürgerkriegs im Jahr 2009 verbunden und auch darauf zurückzuführen, dass in den ehemaligen Bürgerkriegsregionen im Norden und Osten des Landes wieder vermehrt Landwirtschaft betrieben werden kann. Dennoch leben in diesen Regionen viele Menschen am Existenzmi-nimum. Ihre Lage wird zudem überschattet durch den ethnischen Konflikt zwischen den Singhalesen und der sich diskriminiert fühlenden tamilischen Minderheit, für den bisher keine nennenswerte politische Lösung gefunden wurde. Erst die im August 2015 gewählte neue Regierung hat sich - auf Druck des UN-Menschenrechtsrats - explizit bereit erklärt, zahlreiche Maßnahmen zur Versöhnung der ehemaligen Bürgerkriegsparteien umzu-setzen. Der sehr spät ins Auge gefasste Versöhnungsprozess macht deut-lich, dass der Weg zu dauerhaftem Frieden und Stabilität noch weit ist (vgl. zum Ganzen: Bundesministerium für wirtschaftliche Zusammenarbeit und Entwicklung, http://www.bmz.de laender_regionen asien sri_lanka; Deutsches Auswärtiges Amt, http://www.auswaertiges-amt.de Aussen- und Europapolitik Länderinformationen Sri Lanka Innenpolitik [Stand: März 2018], beide Webseiten abgerufen im Juli 2018).</w:t>
      </w:r>
    </w:p>
    <w:p>
      <w:r>
        <w:rPr>
          <w:b/>
        </w:rPr>
        <w:t>E. 5.4</w:t>
      </w:r>
    </w:p>
    <w:p>
      <w:r>
        <w:t>Vor diesem Hintergrund besteht bei der sri-lankischen Bevölkerung ein vielfacher Wunsch nach Auswanderung, der sich vor allem bei denjenigen manifestiert, die bereits über ein Beziehungsnetz im Ausland verfügen. Die schwierige Lage dieser Personengruppe spiegelt sich im Übrigen auch in der Schweizerischen Asylstatistik - wonach Sri Lanka mit 840 Gesuchen im Jahr 2017 zu den wichtigsten Herkunftsländern gehört - wider (Quelle: Staatssekretariat für Migration, SEM&lt; https://www.sem.admin.ch/dam/data/sem/publiservice/statistik/asylstatistik/2017/stat-jahr-2017-kommentar-d.pdf &gt; Kommentierte Asylstatistik 2017 S. 4). Bei der Risikoanalyse sind allerdings neben allgemeinen Umständen und Erfahrungen auch sämtliche Gesichtspunkte des konkreten Einzelfalls zu berücksichtigen. In beweisrechtlicher Hinsicht ist überdies festzuhalten, dass ein Visum nur erteilt werden darf, wenn keine begründeten Zweifel an der Absicht der gesuchstellenden Person bestehen, den Schengen-Raum vor Ablauf des Visums wieder zu verlassen (vgl. BVGE 2014/1 E. 4.4 und E. 6.3.1 je m.H.).</w:t>
      </w:r>
    </w:p>
    <w:p>
      <w:r>
        <w:rPr>
          <w:b/>
        </w:rPr>
        <w:t>E. 6.1</w:t>
      </w:r>
    </w:p>
    <w:p>
      <w:r>
        <w:t>Bei der Gesuchstellerin handelt es sich um eine 78-jährige, verwitwete Frau, die in Sri Lanka mit ihrer Tochter zusammenlebt. Auch eine weitere Tochter lebt in ihrem Heimatland. Drei ihrer Kinder sind ins Ausland emigriert (SEM act. 4/18, 6/64). Wie sich das Zusammenleben der Gesuchstellerin und ihrer in Sri Lanka lebenden Töchter ausgestaltet, geht aus den Akten nicht hervor. Es ist mithin nicht ersichtlich und wird vom Beschwerdeführer auch nicht geltend gemacht, dass ihr in ihrem Heimatland irgendwelche familiären oder gesellschaftlichen Verpflichtungen obliegen, die ihre dortige Präsenz erfordern würde.</w:t>
      </w:r>
    </w:p>
    <w:p>
      <w:r>
        <w:rPr>
          <w:b/>
        </w:rPr>
        <w:t>E. 6.2</w:t>
      </w:r>
    </w:p>
    <w:p>
      <w:r>
        <w:t>Gemäss den Ausführungen des Beschwerdeführers, besitze seine Mutter eine Liegenschaft in Sri Lanka im Wert von 70 Lakhs Rupien (Anmerkung des Gerichts: 7 Millionen Rupien, ca. Fr. 43'790.-). Dies macht auch die Gesuchstellerin selbst mit Schreiben vom 20. November 2017 geltend (SEM act. 6/64 und act. 1/2). Des Weiteren wurde ein Bankauszug der "A._______ Bank" zu den Akten gereicht, welcher aufzeigt, dass die Gesuchstellerin dort über ein Guthaben von 1'000 LKR (ca. Fr. 6.50) verfügt (SEM act. 4/56). Zu Recht verweist die Vorinstanz auf den Umstand, dass das Bankkonto am 7. November 2017, d.h. kurz bevor der Visumantrag eingereicht wurde, eröffnet worden ist. Der Beschwerdeführer versäumt es denn auch, im vorliegenden Verfahren dazu Stellung zu nehmen. Bezüglich der Liegenschaft wurden weder nähere Ausführungen getätigt noch entsprechende Nachweise eingereicht. Es bleibt unklar, mit welchen finanziellen Mitteln die Gesuchstellerin ihren Lebensunterhalt in Sri Lanka bestreitet. Vor diesem Hintergrund kann nicht davon ausgegangen werden, die Mutter des Beschwerdeführers lebe in soliden wirtschaftlichen Verhältnissen, die sie von einer Emigration abzuhalten vermögen.</w:t>
      </w:r>
    </w:p>
    <w:p>
      <w:r>
        <w:rPr>
          <w:b/>
        </w:rPr>
        <w:t>E. 6.3</w:t>
      </w:r>
    </w:p>
    <w:p>
      <w:r>
        <w:t>Der Beschwerdeschrift ist zu entnehmen, dass die Ehefrau des Beschwerdeführers einen Integrationskurs besuchen wolle. Aus diesem Grund wünsche sich das Paar, dass die Gesuchstellerin für drei Monate in die Schweiz komme, damit diese sich um die zwei Kinder kümmern könne. Der Beschwerde beigelegt war auch ein an die Ehefrau gerichtetes Schreiben des Amts für Wirtschaft und Integration des Kantons Aargau vom 31. Januar 2018 betreffend Verpflichtung zum Spracherwerb. Diesbezüglich ist darauf hinzuweisen, dass der Beschwerdeführer bereits in seinem Einladungsschreiben an die Schweizer Botschaft vom 12. Oktober 2017 und in seiner Einsprache vom 24. November 2017 - unabhängig vom Besuch eines Integrationskurs seiner Ehefrau - geltend machte, der Aufenthalt der Mutter diene der Unterstützung der Familie (SEM act. 4/35 und 2/7). Auch dem Auskunftsbogen vom 19. Januar 2018 ist zu entnehmen, dass die Mutter als Haushaltshilfe eingesetzt werden soll, da die Ehefrau schwanger und das erste Kind erst 14 Monate alt sei (SEM act 6/65). Der Besuch der Mutter soll somit primär der Entlastung der Familie dienen (vgl. dazu auch ärztliches Attest vom 10. Oktober 2017 [SEM act. 4/29]). Selbst wenn dieser Wunsch absolut nachvollziehbar und verständlich ist, so lässt er - im Kontext der obgenannten Erwägungen (siehe E. 6.1 - 6.2) - zusätzliche Zweifel aufkommen, ob die Gesuchstellerin nach einem Besuchsaufenthalt in der Schweiz fristgemäss wieder in ihr Heimatland zurückkehren würde. Dagegen spricht auch, dass der Beschwerdeführer im erwähnten Auskunftsbogen die Dauer des vorgesehenen Aufenthalts seines Gastes in der Schweiz mit 6 Monate bezifferte. Vor diesem Hintergrund ist es dem Beschwerdeführer nicht gelungen glaubhaft zu machen, dass seine Mutter nach ihrem Besuchsaufenthalt die Schweiz fristgemäss wieder verlassen würde.</w:t>
      </w:r>
    </w:p>
    <w:p>
      <w:r>
        <w:rPr>
          <w:b/>
        </w:rPr>
        <w:t>E. 6.4</w:t>
      </w:r>
    </w:p>
    <w:p>
      <w:r>
        <w:t>Abschliessend gilt es darauf hinzuweisen, dass an den guten Absichten und der Integrität des Beschwerdeführers nicht gezweifelt werden soll. Er kann jedoch in seiner Eigenschaft als Gastgeber lediglich für gewisse finanzielle Risiken (Lebenshaltungskosten während des Besuchsaufenthalts, allfällige von einer Versicherung nicht gedeckte Kosten für Unfall und Krankheit sowie Repatriierung) Garantie leisten, nicht aber - mangels rechtlicher und faktischer Durchsetzbarkeit - für ein bestimmtes Verhalten seines Gastes (vgl. BVGE 2009/27 E. 9).</w:t>
      </w:r>
    </w:p>
    <w:p>
      <w:r>
        <w:rPr>
          <w:b/>
        </w:rPr>
        <w:t>E. 6.5</w:t>
      </w:r>
    </w:p>
    <w:p>
      <w:r>
        <w:t>Insgesamt ist die Schlussfolgerung der Vorinstanz, wonach die Wiederausreise der Gesuchstellerin angesichts der allgemeinen Lage im Heimatland und ihrer individuellen Situation zu wenig gesichert sei, nicht zu beanstanden.</w:t>
      </w:r>
    </w:p>
    <w:p>
      <w:r>
        <w:rPr>
          <w:b/>
        </w:rPr>
        <w:t>E. 6.6</w:t>
      </w:r>
    </w:p>
    <w:p>
      <w:r>
        <w:t>Mit der fehlenden Gewähr für eine anstandslose Wiederausreise ist eine unabdingbare Voraussetzung zur Erteilung eines Schengen-Visums nicht erfüllt. Gründe für die Ausstellung eines Visums mit räumlich beschränkter Gültigkeit wurden vom Beschwerdeführer zu Recht nicht geltend gemacht und sind auch nicht ersichtlich. Insbesondere kann sich der Beschwerdeführer nicht auf Art. 8 EMRK berufen, tangiert die Verweigerung der Einreisebewilligung doch vorliegend nicht die Kernfamilie, d.h. die Gemeinschaft der Ehegatten mit ihren minderjährigen Kindern. Der Beschwerdeführer und seine Ehefrau verfügen überdies über eine Aufenthaltsbewilligung (SEM act. 4/33-34), weshalb es ihnen möglich sein sollte, die Mutter bzw. Schwiegermutter in Sri Lanka zu besuchen (vgl. dazu Urteil des BVGer F-1508/2017 vom 23. Juni 2017 E. 7.3 und 7.4). 7.Aus vorstehenden Erwägungen folgt, dass die angefochtene Verfügung im Lichte von Art. 49 VwVG nicht zu beanstanden ist. Die Beschwerde ist daher abzuweisen. 8.Bei diesem Ausgang des Verfahrens sind die Kosten dem Beschwerdeführer aufzuerlegen (Art. 63 Abs. 1 VwVG i.V.m. Art. 1 ff. des Reglements über die Kosten und Entschädigungen vor dem Bundesverwaltungsgericht vom 21. Februar 2008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