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F-1240/2023 vom 13. September 2023</w:t>
      </w:r>
    </w:p>
    <w:p>
      <w:r>
        <w:t>Bundesverwaltungsgericht, 2023-09-13, FR</w:t>
      </w:r>
    </w:p>
    <w:p>
      <w:r>
        <w:rPr>
          <w:b/>
        </w:rPr>
        <w:t xml:space="preserve">Quelle: </w:t>
      </w:r>
      <w:r>
        <w:t>https://mcp.opencaselaw.ch/entscheid/bvger_F-1240_2023</w:t>
      </w:r>
    </w:p>
    <w:p>
      <w:r>
        <w:t>FR: TAF F-1240/2023 du 13 septembre 2023</w:t>
      </w:r>
    </w:p>
    <w:p>
      <w:r>
        <w:t>IT: TAF F-1240/2023 del 13 settembre 2023</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Message du Conseil fédéral du 8 mars 2002 concernant la loi sur les étrangers [ci-après : Message LEtr], FF 2002 3469, 3493, ch. 1.2.6). Aussi, celles-ci ne peuvent accueillir tous les étrangers qui désirent venir en Suisse,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w:t>
      </w:r>
    </w:p>
    <w:p>
      <w:r>
        <w:rPr>
          <w:b/>
        </w:rPr>
        <w:t>E. 3.3</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23.03.2016, modifié par le règlement [UE] 2017/458, JO L 74 du 18.03.2017).</w:t>
      </w:r>
    </w:p>
    <w:p>
      <w:r>
        <w:rPr>
          <w:b/>
        </w:rPr>
        <w:t>E. 4.2</w:t>
      </w:r>
    </w:p>
    <w:p>
      <w:r>
        <w:t>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problématique,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2 let. d ch. 2, art. 3 al. 4 et 5 et art. 11 let. b OEV ; art. 32 par. 1 en relation avec l'art. 25 par. 1 let. a et par. 2 du code des visas et art. 6 par. 5 let. c du code frontières Schengen).</w:t>
      </w:r>
    </w:p>
    <w:p>
      <w:r>
        <w:rPr>
          <w:b/>
        </w:rPr>
        <w:t>E. 4.4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En tant que ressortissante du Kosovo, la recourante est soumise à une telle obligation (art. 8 al. 1 OEV, qui renvoie à l'annexe I dudit règlement), jusqu'au 31 décembre 2023.</w:t>
      </w:r>
    </w:p>
    <w:p>
      <w:r>
        <w:rPr>
          <w:b/>
        </w:rPr>
        <w:t>E. 5.1</w:t>
      </w:r>
    </w:p>
    <w:p>
      <w:r>
        <w:t>Dans sa décision sur opposition, l'autorité inférieure a confirmé le refus d'autorisation d'entrée dans l'Espace Schengen prononcé à l'encontre de l'intéressée par l'Ambassade précitée, au motif que le retour au Kosovo à l'échéance du visa sollicité n'était pas suffisamment assuré. Elle a, en particulier, retenu que A._______ était encore aux études et que ses moyens financiers étaient garantis par ses parents. En outre, elle a relevé que la prénommée avait déjà sollicité à deux reprises, en 2014 et 2019, l'octroi d'un visa de long séjour, respectivement d'une autorisation de séjour, au titre du regroupement familial, lesquels ont été refusés par les autorités suisses. Dans ce contexte, la possibilité pour l'intéressée de s'établir en Suisse dans l'espoir d'y trouver des conditions d'existence plus favorables ne saurait, selon le SEM, être exclue, ce d'autant moins que celle-ci n'a pas établi entretenir de liens étroits avec son pays d'origine.</w:t>
      </w:r>
    </w:p>
    <w:p>
      <w:r>
        <w:rPr>
          <w:b/>
        </w:rPr>
        <w:t>E. 5.2</w:t>
      </w:r>
    </w:p>
    <w:p>
      <w:r>
        <w:t>Dans le cadre de son recours, l'intéressée a, en substance, soutenu avoir suffisamment d'attaches sociales et professionnelles au Kosovo, dans la mesure où elle y avait obtenu, après plusieurs années d'études, un diplôme d'assistante d'enfants avec besoins éducationnels spéciaux (dont elle ne pouvait du reste se prévaloir en Suisse), puis décroché un emploi depuis le 1er janvier 2023, où elle allait, de surcroît, oeuvrer dans le cadre d'un projet spécifique dès le 1er septembre 2023. Elle a, par ailleurs, exposé que son séjour en Suisse visait un but précis, à savoir rencontrer sa soeur née à la fin de l'année passée. Dans ces circonstances, son retour au Kosovo serait garanti. Elle a dès lors reproché au SEM d'avoir constaté les faits de manière arbitraire et erronée et d'avoir notamment violé les art. 5 al. 2 LEI, 3 al. 1 OEV et 6 du code frontières Schengen, ainsi que le principe de la proportionnalité.</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7.1</w:t>
      </w:r>
    </w:p>
    <w:p>
      <w:r>
        <w:t>En l'occurrence, au vu de la situation socio-économique prévalant au Kosovo, le Tribunal ne saurait, de prime abord, écarter les craintes émises par l'autorité intimée de voir la recourante prolonger son séjour en Suisse (ou dans l'Espace Schengen) au-delà de la durée du visa sollicité. A ce propos, il faut prendre en considération la qualité de vie et les conditions économiques particulières que connaît l'ensemble de la population au Kosovo. Avec un produit intérieur brut (PIB) par habitant de 5'351,4 dollars (USD) en 2022, cet Etat demeure très en dessous des standards européens (cf. La Banque mondiale, Données, Kosovo, &lt; https://donnees.banquemondiale.org/country/XK ). Le Kosovo reste ainsi l'un des pays les plus pauvres d'Europe, avec plus de 40% de la population vivant sous le seuil de pauvreté. Le pays est, de plus, confronté à un taux de chômage élevé, à une économie dépendant fortement des transferts de la diaspora et à une corruption généralisée (cf. Bertelsmann Stiftung, Bertelsmann Stiftung's Transformation Index [BTI] 2022 Country Report - Kosovo, p. 3 s., &lt; https://bti-project.org/fileadmin/api/content/en/downloads/reports/country_report_2022_RKS.pdf , sources consultées le 04.09.2023). Ainsi, le Tribunal ne saurait omettre que ces conditions de vie défavorables entraînent une pression migratoire non négligeable sur la population du pays et peuvent s'avérer décisives lorsqu'une personne prend la décision de quitter son pays d'origine afin de connaître de meilleures perspectives d'avenir.</w:t>
      </w:r>
    </w:p>
    <w:p>
      <w:r>
        <w:rPr>
          <w:b/>
        </w:rPr>
        <w:t>E. 7.2</w:t>
      </w:r>
    </w:p>
    <w:p>
      <w:r>
        <w:t>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 2009/27 consid. 8).</w:t>
      </w:r>
    </w:p>
    <w:p>
      <w:r>
        <w:rPr>
          <w:b/>
        </w:rPr>
        <w:t>E. 7.3</w:t>
      </w:r>
    </w:p>
    <w:p>
      <w:r>
        <w:t>Il sied dès lors d'examiner si la situation personnelle, familiale, professionnelle et patrimoniale de la recourante plaide en faveur de sa sortie ponctuelle de Suisse, respectivement de l'Espace Schengen, au terme du séjour envisagé.</w:t>
      </w:r>
    </w:p>
    <w:p>
      <w:r>
        <w:rPr>
          <w:b/>
        </w:rPr>
        <w:t>E. 7.3.1</w:t>
      </w:r>
    </w:p>
    <w:p>
      <w:r>
        <w:t>Sur le plan professionnel tout d'abord, A._______ a exposé être titulaire d'un diplôme kosovar d'assistante d'enfants avec besoins éducationnels spéciaux, lequel ne lui était d'aucune utilité en Suisse. Elle a également allégué avoir trouvé un emploi depuis le 1er janvier 2023, dans le cadre duquel elle s'occupe d'un projet spécifique depuis le 1er septembre 2023, et être ainsi indépendante financièrement. Elle estime que ces éléments tendent à plaider en faveur d'un retour au Kosovo à l'échéance du visa sollicité. Force est cependant de constater que la prénommée n'a pas produit de pièce attestant ses revenus ou, plus généralement, sa situation financière. De plus, ses parents s'étant engagés à assumer l'entièreté des frais inhérents à son séjour en Suisse, tout porte à croire que ses ressources financières sont limitées.</w:t>
      </w:r>
    </w:p>
    <w:p>
      <w:r>
        <w:rPr>
          <w:b/>
        </w:rPr>
        <w:t>E. 7.3.2</w:t>
      </w:r>
    </w:p>
    <w:p>
      <w:r>
        <w:t>Par ailleurs, la recourante est célibataire et n'a pas indiqué avoir de quelconques attaches personnelles ou obligations familiales dans son pays d'origine. Partant, il y a lieu de retenir qu'elle ne bénéficie manifestement pas, sur le plan personnel, d'une situation susceptible de constituer un sérieux obstacle à une éventuelle émigration en Suisse.</w:t>
      </w:r>
    </w:p>
    <w:p>
      <w:r>
        <w:rPr>
          <w:b/>
        </w:rPr>
        <w:t>E. 7.3.3</w:t>
      </w:r>
    </w:p>
    <w:p>
      <w:r>
        <w:t>Au contraire, l'intéressée a de la famille en Suisse pouvant faciliter son immigration, en particulier son père, qui y habite depuis 2003, et sa mère, qui a rejoint ce dernier il y a presque quatre ans, auxquels elle souhaite précisément rendre visite. Or, comme l'expérience l'a démontré, la tendance migratoire est renforcée lorsque la personne concernée peut s'appuyer sur un réseau social préexistant dans son pays de destination (cf. ATAF 2014/1 consid. 6.2.2 ; 2009/27 consid. 7).</w:t>
      </w:r>
    </w:p>
    <w:p>
      <w:r>
        <w:rPr>
          <w:b/>
        </w:rPr>
        <w:t>E. 7.3.4</w:t>
      </w:r>
    </w:p>
    <w:p>
      <w:r>
        <w:t>Le risque migratoire apparaît d'autant plus important en l'espèce que la recourante a, par le passé, demandé à pouvoir venir s'établir en Suisse à deux reprises, en 2014 et en 2019, par le biais d'une procédure de regroupement familial. C'est du reste en 2019 que la mère de l'intéressée, qui a déposé sa demande de visa D en même temps que cette dernière, a été autorisée à entrer et à s'établir en Suisse. Ces circonstances ne peuvent que renforcer les doutes émis par le SEM quant à une sortie ponctuelle de l'Espace Schengen à l'échéance du visa sollicité.</w:t>
      </w:r>
    </w:p>
    <w:p>
      <w:r>
        <w:rPr>
          <w:b/>
        </w:rPr>
        <w:t>E. 7.3.5</w:t>
      </w:r>
    </w:p>
    <w:p>
      <w:r>
        <w:t>En conséquence, sans pour autant minimiser les raisons d'ordre affectif qui motivent la présente demande de visa (visite des parents et d'une soeur nouvellement née), le Tribunal estime que la recourante ne dispose pas, au Kosovo, d'attaches ou de responsabilités suffisantes pour garantir son départ au terme du séjour envisagé, étant rappelé à ce sujet qu'au regard de la situation économique difficile prévalant sur place, une pratique restrictive est justifiée (cf. supra, consid. 6.3. et 7.1).</w:t>
      </w:r>
    </w:p>
    <w:p>
      <w:r>
        <w:rPr>
          <w:b/>
        </w:rPr>
        <w:t>E. 7.4</w:t>
      </w:r>
    </w:p>
    <w:p>
      <w:r>
        <w:t>Au demeurant, l'expérience a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ou en entreprenant des démarches administratives afin d'y prolonger son séjour (cf. ATAF 2014/1 consid. 6.3.7 ; 2009/27 consid. 9).</w:t>
      </w:r>
    </w:p>
    <w:p>
      <w:r>
        <w:rPr>
          <w:b/>
        </w:rPr>
        <w:t>E. 7.5</w:t>
      </w:r>
    </w:p>
    <w:p>
      <w:r>
        <w:t>En tout état de cause, un refus de visa Schengen prononcé par les autorités suisses n'a pas pour conséquence d'empêcher A._______ de voir les membres de sa famille, dès lors que ceux-ci peuvent aussi se rencontrer hors de Suisse et plus particulièrement au Kosovo, le dossier ne faisant pas apparaître l'existence d'obstacles à ce propos. A toutes fins utiles, il est encore relevé que la prénommée ne sera plus soumise à une obligation de visa pour entrer en Suisse dès le 1er janvier 2024 (cf. supra, consid. 4.4).</w:t>
      </w:r>
    </w:p>
    <w:p>
      <w:r>
        <w:rPr>
          <w:b/>
        </w:rPr>
        <w:t>E. 7.6</w:t>
      </w:r>
    </w:p>
    <w:p>
      <w:r>
        <w:t>Dans ces circonstances, le Tribunal ne saurait reprocher à l'instance inférieure d'avoir violé le droit et, en particulier, d'avoir versé dans l'arbitraire ou encore d'avoir violé le principe de la proportionnalité, contrairement aux allégations du recours. C'est, au contraire, à bon droit que le SEM a confirmé le refus d'autorisation d'entrée dans l'Espace Schengen à l'égard de l'intéressée.</w:t>
      </w:r>
    </w:p>
    <w:p>
      <w:r>
        <w:rPr>
          <w:b/>
        </w:rPr>
        <w:t>E. 7.7</w:t>
      </w:r>
    </w:p>
    <w:p>
      <w:r>
        <w:t>Enfin, le TAF constate que le dossier ne laisse pas apparaître de motifs susceptibles de justifier la délivrance d'un visa à validité territoriale limitée en faveur de la recourante (cf. supra, consid. 4.3).</w:t>
      </w:r>
    </w:p>
    <w:p>
      <w:r>
        <w:rPr>
          <w:b/>
        </w:rPr>
        <w:t>E. 8</w:t>
      </w:r>
    </w:p>
    <w:p>
      <w:r>
        <w:t>Il s'ensuit que, par sa décision sur opposition du 30 janvier 2023, l'autorité intimée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de la recourante (art. 63 al. 1 PA et art. 1 à 3 du règlement du 21 février 2008 concernant les frais, dépens et indemnités fixés par le Tribunal administratif fédéral [FITAF, RS 173.320.2]). Celle-ci n'a,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