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F-1237/2022 vom 22. März 2022</w:t>
      </w:r>
    </w:p>
    <w:p>
      <w:r>
        <w:t>Bundesverwaltungsgericht, 2022-03-22, FR</w:t>
      </w:r>
    </w:p>
    <w:p>
      <w:r>
        <w:rPr>
          <w:b/>
        </w:rPr>
        <w:t xml:space="preserve">Quelle: </w:t>
      </w:r>
      <w:r>
        <w:t>https://mcp.opencaselaw.ch/entscheid/bvger_F-1237_2022</w:t>
      </w:r>
    </w:p>
    <w:p>
      <w:r>
        <w:t>FR: TAF F-1237/2022 du 22 mars 2022</w:t>
      </w:r>
    </w:p>
    <w:p>
      <w:r>
        <w:t>IT: TAF F-1237/2022 del 22 marzo 2022</w:t>
      </w:r>
    </w:p>
    <w:p>
      <w:pPr>
        <w:pStyle w:val="Heading2"/>
      </w:pPr>
      <w:r>
        <w:t>Regeste</w:t>
      </w:r>
    </w:p>
    <w:p>
      <w:r>
        <w:t>Asile (non-entrée en matière / procédure Dublin) et renvoi</w:t>
      </w:r>
    </w:p>
    <w:p>
      <w:pPr>
        <w:pStyle w:val="Heading2"/>
      </w:pPr>
      <w:r>
        <w:t>Erwägungen</w:t>
      </w:r>
    </w:p>
    <w:p>
      <w:r>
        <w:rPr>
          <w:b/>
        </w:rPr>
        <w:t>E. 1.1</w:t>
      </w:r>
    </w:p>
    <w:p>
      <w:r>
        <w:t>Le Tribunal, en vertu de l'art. 31 LTAF (sur renvoi de l'art. 105 LAsi),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(art. 48 al. 1 PA). Présenté dans la forme et le délai prescrits par la loi, le recours est recevable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4.1</w:t>
      </w:r>
    </w:p>
    <w:p>
      <w:r>
        <w:t>En l'occurrence, les investigations entreprises par le SEM ont révélé, après consultation de l'unité centrale du système européen « Eurodac », que A._______ avait déposé une demande d'asile en Bulgarie le 15 décembre 2021.</w:t>
      </w:r>
    </w:p>
    <w:p>
      <w:r>
        <w:rPr>
          <w:b/>
        </w:rPr>
        <w:t>E. 4.2</w:t>
      </w:r>
    </w:p>
    <w:p>
      <w:r>
        <w:t>En date du 7 février 2022, l'autorité inférieure a dès lors soumis aux autorités bulgares compétentes, dans les délais fixés à l'art. 23 par. 2 du règlement Dublin III une requête aux fins de reprise en charge, fondée sur l'art. 18 al. 1 let. b du règlement Dublin III.</w:t>
      </w:r>
    </w:p>
    <w:p>
      <w:r>
        <w:rPr>
          <w:b/>
        </w:rPr>
        <w:t>E. 4.3</w:t>
      </w:r>
    </w:p>
    <w:p>
      <w:r>
        <w:t>N'ayant pas répondu à la demande de reprise en charge du 7 février 2022 dans les délais prévus par l'art. 25 par. 1 du règlement Dublin III, la Bulgarie est réputée l'avoir acceptée et, partant, avoir reconnu sa compétence pour traiter la demande d'asile de l'intéressé (art. 25 par. 2 RD III), laquelle n'est du reste par contestée.</w:t>
      </w:r>
    </w:p>
    <w:p>
      <w:r>
        <w:rPr>
          <w:b/>
        </w:rPr>
        <w:t>E. 5.1</w:t>
      </w:r>
    </w:p>
    <w:p>
      <w:r>
        <w:t>Cela étant, au vu de l'art. 3 par. 2 al. 2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w:t>
      </w:r>
    </w:p>
    <w:p>
      <w:r>
        <w:rPr>
          <w:b/>
        </w:rPr>
        <w:t>E. 5.6</w:t>
      </w:r>
    </w:p>
    <w:p>
      <w:r>
        <w:t>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 du TAF F-5114/2021 du 2 décembre 2021 et jurisp. cit.).</w:t>
      </w:r>
    </w:p>
    <w:p>
      <w:r>
        <w:rPr>
          <w:b/>
        </w:rPr>
        <w:t>E. 5.7</w:t>
      </w:r>
    </w:p>
    <w:p>
      <w:r>
        <w:t>Dans ces conditions, l'application de l'art. 3 par. 2 al. 2 du règlement Dublin III ne se justifie pas en l'espèce.</w:t>
      </w:r>
    </w:p>
    <w:p>
      <w:r>
        <w:rPr>
          <w:b/>
        </w:rPr>
        <w:t>E. 6.1</w:t>
      </w:r>
    </w:p>
    <w:p>
      <w:r>
        <w:t>Pour s'opposer à son transfert vers la Bulgarie, A._______ a fait valoir qu'il avait été battu par des policiers et avait été contraint de déposer l'asile dans ce pays. Il a en outre indiqué être resté enfermé 25 jours dans un camp dans des conditions précaires et avoir été maltraité par les forces de l'ordre bulgares. Par ailleurs, il a soutenu qu'en cas de retour, il serait emprisonné pendant 18 mois, puisqu'il avait quitté le pays. En outre, la Bulgarie ne serait pas un pays accueillant, car il y aurait « la mafia, la guerre, la tyrannie et [aucune] possibilité de se former ou de travailler ». Au vu des éléments précités, l'intéressé a implicitement sollicité l'application d'une des clauses discrétionnaires prévues à l'art. 17 du règlement Dublin III, à savoir celle retenue par le par. 1 de cette disposition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(cf. ATAF 2015/9 consid. 8). Malgré l'absence de défaillances systémiques en Bulgarie (cf. consid. 5 supra)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du TAF F-7195/2018 précité consid. 7.4.1 s.).</w:t>
      </w:r>
    </w:p>
    <w:p>
      <w:r>
        <w:rPr>
          <w:b/>
        </w:rPr>
        <w:t>E. 6.3</w:t>
      </w:r>
    </w:p>
    <w:p>
      <w:r>
        <w:t>Dans le cas particulier, l'intéressé n'a fourni aucun élément concret susceptible de démontrer que sa demande de protection déposée en Bulgarie ne serait pas traitée conformément aux dispositions légales applicables dans ce pays, lequel est notamment lié par les conventions précitées, et avec diligence par les autorités compétentes de cet Etat, conformément à la directive Procédure.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6.4.1</w:t>
      </w:r>
    </w:p>
    <w:p>
      <w:r>
        <w:t>S'agissant des maltraitances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à ce dernier domaine (cf. arrêt de référence du TAF F-7195/2018 précité consid. 6.6.3). Le Tribunal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w:t>
      </w:r>
    </w:p>
    <w:p>
      <w:r>
        <w:rPr>
          <w:b/>
        </w:rPr>
        <w:t>E. 6.4.2</w:t>
      </w:r>
    </w:p>
    <w:p>
      <w:r>
        <w:t>En outre, le recourant n'a pas apporté d'éléments concrets susceptibles de corroborer le fait qu'il aurait été personnellement soumis à de mauvais traitements, les allégations selon lesquelles il aurait été battu à plusieurs reprises par les policiers et privé de nourriture en Bulgarie se limitant à de simples affirmations.</w:t>
      </w:r>
    </w:p>
    <w:p>
      <w:r>
        <w:rPr>
          <w:b/>
        </w:rPr>
        <w:t>E. 6.4.3</w:t>
      </w:r>
    </w:p>
    <w:p>
      <w:r>
        <w:t>Quant à son allégation selon laquelle il serait emprisonné 18 mois s'il retourne dans ce pays, le Tribunal retiendra ce qui suit.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 dans un centre fermé (cf. arrêt du TAF F-5114/2021 précité). Dans le cas d'espèce, il ressort du dossier que la demande d'asile du recourant est encore en cours de traitement. Dans ces conditions, il y a lieu d'admettre que l'intéressé sera dirigé vers un centre d'accueil pour la suite de la procédure d'asile introduite en Bulgarie. En outre, ce dernier n'a pas apporté d'indices objectifs, concrets et sérieux qu'il serait lui-même privé durablement, une fois qu'il sera retourné dans ce pays, de tout accès à des conditions matérielles minimales d'accueil prévues par la directive Accueil et qu'il ne pourrait pas bénéficier de l'aide dont il pourrait avoir besoin pour faire valoir ses droits. S'il devait s'avérer que ce pays viole ses obligations d'assistance à son encontre,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 (art. 26 directive Accueil).</w:t>
      </w:r>
    </w:p>
    <w:p>
      <w:r>
        <w:rPr>
          <w:b/>
        </w:rPr>
        <w:t>E. 6.5</w:t>
      </w:r>
    </w:p>
    <w:p>
      <w:r>
        <w:t>Il appert également du dossier que le recourant se porte bien, n'a pas de problèmes de santé et ne prend pas de médicament (cf. dossier SEM 14/2). Il n'est donc pas, au sens de la jurisprudence précitée, considéré comme une personne vulnérable. Dans ces conditions, il n'y a pas lieu de requérir des garanties supplémentaires aux autorités bulgares.</w:t>
      </w:r>
    </w:p>
    <w:p>
      <w:r>
        <w:rPr>
          <w:b/>
        </w:rPr>
        <w:t>E. 6.6</w:t>
      </w:r>
    </w:p>
    <w:p>
      <w:r>
        <w:t>Par conséquent, le transfert du recourant vers la Bulgarie n'est pas contraire aux obligations découlant de dispositions conventionnelles auxquelles la Suisse est liée.</w:t>
      </w:r>
    </w:p>
    <w:p>
      <w:r>
        <w:rPr>
          <w:b/>
        </w:rPr>
        <w:t>E. 6.7</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Dans ces conditions, c'est à bon droit que le SEM n'est pas entré en matière sur la demande d'asile, en application de l'art. 31a al. 1 let. b LAsi, et qu'il a prononcé son transfert de Suisse vers la Bulgarie,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d'une seconde juge (art. 111 let. e LAsi). Il est dès lors renoncé à un échange d'écritures, le présent arrêt n'étant motivé que sommairement (cf. art. 111a al. 1 et 2 LAsi).</w:t>
      </w:r>
    </w:p>
    <w:p>
      <w:r>
        <w:rPr>
          <w:b/>
        </w:rPr>
        <w:t>E. 9</w:t>
      </w:r>
    </w:p>
    <w:p>
      <w:r>
        <w:t>Dans la mesure où il a été immédiatement statué sur le fond, les requêtes formulées dans le mémoire de recours tendant à l'octroi de l'effet suspensif et à la dispense du versement d'une avance de frais sont devenues sans objet. En outre, les conclusions du recours étant d'emblée vouées à l'échec, la requête d'assistance judiciaire tant partielle que totale est rejetée.</w:t>
      </w:r>
    </w:p>
    <w:p>
      <w:r>
        <w:rPr>
          <w:b/>
        </w:rPr>
        <w:t>E. 10</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