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F-1224/2019 vom 12. Dezember 2019</w:t>
      </w:r>
    </w:p>
    <w:p>
      <w:r>
        <w:t>Bundesverwaltungsgericht, 2019-12-12, DE</w:t>
      </w:r>
    </w:p>
    <w:p>
      <w:r>
        <w:rPr>
          <w:b/>
        </w:rPr>
        <w:t xml:space="preserve">Quelle: </w:t>
      </w:r>
      <w:r>
        <w:t>https://mcp.opencaselaw.ch/entscheid/bvger_F-1224_2019</w:t>
      </w:r>
    </w:p>
    <w:p>
      <w:r>
        <w:t>FR: TAF F-1224/2019 du 12 décembre 2019</w:t>
      </w:r>
    </w:p>
    <w:p>
      <w:r>
        <w:t>IT: TAF F-1224/2019 del 12 dicembre 2019</w:t>
      </w:r>
    </w:p>
    <w:p>
      <w:pPr>
        <w:pStyle w:val="Heading2"/>
      </w:pPr>
      <w:r>
        <w:t>Regeste</w:t>
      </w:r>
    </w:p>
    <w:p>
      <w:r>
        <w:t>Nichteintreten auf Asylgesuch und Wegweisung (Dublin-Verfahren)</w:t>
      </w:r>
    </w:p>
    <w:p>
      <w:pPr>
        <w:pStyle w:val="Heading2"/>
      </w:pPr>
      <w:r>
        <w:t>Erwägungen</w:t>
      </w:r>
    </w:p>
    <w:p>
      <w:r>
        <w:rPr>
          <w:b/>
        </w:rPr>
        <w:t>E. 1</w:t>
      </w:r>
    </w:p>
    <w:p>
      <w:r>
        <w:t>Am 1. März 2019 ist eine Teilrevision des AsylG in Kraft getreten (AS 2016 3101). Für die zu diesem Zeitpunkt hängigen Verfahren gilt gemäss Abs. 1 der Übergangsbestimmungen zur Änderung des AsylG vom 25. September 2015 das bisherige Recht. Das ist in der vorliegenden Streitsache der Fall.</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Beschwerdeführerin 1 hat für sich und ihr Kind am Verfahren vor der Vorinstanz teilgenommen, beide sind durch die angefochtene Verfügung besonders berührt und haben ein schutzwürdiges Interesse an deren Aufhebung beziehungsweise Änderung. Sie sind daher zur Einreichung der Beschwerde legitimiert (Art. 105 und aArt. 108 Abs. 2 AsylG; Art. 48 Abs. 1 sowie Art. 52 VwVG). Auf die Beschwerde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w:t>
      </w:r>
    </w:p>
    <w:p>
      <w:r>
        <w:t>Die grundsätzliche Zuständigkeit Italiens zur Behandlung der Asylgesuche der Beschwerdeführenden ist unbestritten und wird von den italienischen Behörden ausdrücklich anerkannt. Sie ergibt sich aus Art. 13 Abs. 1 in Verbindung mit Art. 7 Abs. 1 Dublin-III-VO, die vorsehen, dass in Ermangelung eines höherrangigen Zuständigkeitskriteriums des Kapitels III derjenige Mitgliedstaat zur Behandlung eines Antrags auf internationalen Schutz zuständig ist, über dessen Grenze die antragstellende Person nicht mehr als zwölf Monate zuvor aus einem Drittstaat kommend rechtswidrig in das Hoheitsgebiet der Mitgliedstaaten gelangt ist.</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ABl. C 364/1 vom 18. Dezember 2000; entspricht inhaltlich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6.3</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(nachfolgend: Salvini-Dekret) davon auszugehen, dass Italien die Verfahrensrichtlinie und die Aufnahmerichtlinie einhält, weshalb an der konstanten Rechtsprechung zur Situation in Italien grundsätzlich festzuhalten ist. Eine auf Art. 3 Abs. 2 Dublin-III-VO gestützte Zuständigkeit der Schweiz ist deshalb nicht anzunehmen (statt vieler: Urteile des BVGer F-3046/2019 vom 26. September 2019 E. 5.3; E-4932/2019 vom 26. September 2019).</w:t>
      </w:r>
    </w:p>
    <w:p>
      <w:r>
        <w:rPr>
          <w:b/>
        </w:rPr>
        <w:t>E. 7.1</w:t>
      </w:r>
    </w:p>
    <w:p>
      <w:r>
        <w:t>Gemäss der Souverenitätsklausel des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Dieses Selbsteintrittsrecht wird landesrechtlich durch Art. 29a Abs. 3 der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die Überstellung der antragstellenden Person in den an sich zuständigen Mitgliedstaat übergeordnetes Recht, namentlich eine Norm des Völkerrechts verletzten würde (vgl. BVGE 2010/45 E. 7.2; ferner Urteil des BVGer F-3457/2019 vom 11. Juli 2019 E. 4.4, je m.H).</w:t>
      </w:r>
    </w:p>
    <w:p>
      <w:r>
        <w:rPr>
          <w:b/>
        </w:rPr>
        <w:t>E. 7.2</w:t>
      </w:r>
    </w:p>
    <w:p>
      <w:r>
        <w:t>Mit Urteil vom 4. November 2014 in Sachen Tarakhel gegen die Schweiz hatte sich der EGMR mit der EMRK-Konformität der Überstellung einer Familie nach Italien zu befassen. Es stellte fest, dass die italienischen Asylstrukturen zwar keine systemischen Mängel aufwiesen, dass jedoch Zweifel an den Aufnahmekapazitäten dieses Landes bestünden, die es als möglich erscheinen liessen, dass Familien mit Kindern nach ihrer Überstellung dorthin keine kindgerechte und die Familieneinheit wahrende Unterkunft erhielten. Angesichts der Verletzlichkeit von Asylsuchenden im Allgemeinen und von Kindern im Besondern erwog der EGMR,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(Urteil des EGMR Tarakhel gegen Schweiz vom 4. November 2014, 29217/12, Ziff. 120-122).</w:t>
      </w:r>
    </w:p>
    <w:p>
      <w:r>
        <w:rPr>
          <w:b/>
        </w:rPr>
        <w:t>E. 7.3</w:t>
      </w:r>
    </w:p>
    <w:p>
      <w:r>
        <w:t>In einem Grundsatzurteil vom 12. März 2015 stellte das Bundesverwaltungsgericht klar,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(BVGE 2015/4 E. 4.3). In einem weiteren Grundsatzurteil vom 7. April 2016 bewertete das Bundesverwaltungsgericht Zusicherungen der italienischen Behörden als ausreichend, in denen die Betroffenen unter expliziter Namensnennung und Altersangabe als Familiengemeinschaft (nucleo familiare) anerkannt werden und die implizit oder explizit auf die Rundschreiben der italienischen Behörden vom 2. Februar 2015 bzw. 8. Juni 2015 an die anderen Dublin-Mitgliedstaaten Bezug nehmen (BVGE 2016/2 E. 5.2). Mit den beiden genannten Rundschreiben sowie einem Schreiben an die Europäische Kommission vom 15. April 2015 sicherten die italienischen Behörden die kind- und familiengerechte Unterbringung von Familien mit Kindern in Einrichtungen des «Sistema per Richiedenti Asilo e Rifugiati» (SPRAR) zu.</w:t>
      </w:r>
    </w:p>
    <w:p>
      <w:r>
        <w:rPr>
          <w:b/>
        </w:rPr>
        <w:t>E. 7.4</w:t>
      </w:r>
    </w:p>
    <w:p>
      <w:r>
        <w:t>Mit dem am 5. Oktober 2018 in Kraft getretenen Salvini-Dekret erfuhr das italienische Asylwesen eine Umstrukturierung. SPRAR-Zentren (neue Bezeichnung: Sistema di protezione per titolari di protezione internazionale e per minori stranieri non accompagnati, SIPROIMI) stehen neu nur noch unbegleiteten Minderjährigen und Personen mit internationalem Schutz offen. Andere Personen, darunter auch Familien mit Kindern und vulnerable Personen, sind ausschliesslich zur Unterbringung in den grösseren Kollektivzentren der Erstaufnahme (CDA oder CARA) oder in den Notaufnahmezentren (CAS) berechtigt. Es liegen ernstzunehmende Berichte vor, dass im Rahmen des Dublin-Verfahrens rücküberstellte Personen von mangelhaftem oder verzögertem Zugang zu Unterbringung und medizinischer Versorgung betroffen sind. Die Bedingungen in Erstaufnahmeeinrichtungen lägen deutlich unter den Standards für Personen mit besonderen Bedürfnissen, und die empfangenden Behörden seien verschiedentlich nicht über die besondere Gefährdung der Rückkehrer informiert gewesen (vgl. Asylum Info Database [AIDA], Country Report: Italy, Update 2018, S. 56, https://www.asylumineurope.org/sites/ default/files/report-download/aida_it_2018update.pdf, abgerufen am 26.11.2019).</w:t>
      </w:r>
    </w:p>
    <w:p>
      <w:r>
        <w:rPr>
          <w:b/>
        </w:rPr>
        <w:t>E. 7.5</w:t>
      </w:r>
    </w:p>
    <w:p>
      <w:r>
        <w:t>Bei den Beschwerdeführenden handelt es sich um eine Mutter mit ihrem zweijährigen Sohn. Als solche gehören sie seit dem Inkrafttreten und der Umsetzung des Salvini-Dekrets nicht mehr zu den Personengruppen, die Anspruch auf Zuteilung in einem SPRAR- bzw. SIPROIMI-Zentrum haben. Es bestehen daher nach dem weiter oben Gesagten Zweifel, ob sie nach ihrer Überstellung nach Italien adäquat untergebracht werden. Die am 13. Februar 2019 abgegebene Zusicherung der italienischen Behörden vermag diese Zweifel nicht auszuräumen. Wohl ist sie individualisiert. Sie verweist jedoch auf ein neues Rundschreiben der italienischen Behörden an ihre Partnerstaaten vom 8. Januar 2019, welches das bereits genannte Rundschreiben vom 8. Juni 2015 ersetzt. Das neue Rundschreiben enthält eine Zusammenfassung der aktuellen, sich als Folge des Salvini-Dekrets ergebenden Rechtslage und die Versicherung, dass die Einrichtungen der Erst- und Notaufnahme aufgrund der erfolgreichen Bemühungen der italienischen Regierung, die Migrationsströme einzudämmen, nunmehr in der Lage seien, die Wahrung der Grundrechte - namentlich die der Familieneinheit und des Schutzes der Minderjährigen - zu gewährleisten. Genau dieser Punkt erscheint aufgrund erstzunehmender Berichte sehr fraglich. Die im Falle der Beschwerdeführenden abgegebene Zusicherung der italienischen Behörden erweist sich daher als ungenügend, wie das Bundesverwaltungsgericht in analogen Fällen bereits wiederholt festgestellt hat (vgl. etwa Urteile des BVGer F-1189/2019 vom 4. Dezember 2019 E. 7.5; F-3628/2019 vom 25. November 2019 E. 8; F-3577/2019 vom 13. November 2019 E. 6; F-1562/2019 vom 6. November 2019 E. 5.3; F-843/2019 vom 31. Oktober 2019 E. 10; je m.H).</w:t>
      </w:r>
    </w:p>
    <w:p>
      <w:r>
        <w:rPr>
          <w:b/>
        </w:rPr>
        <w:t>E. 8.1</w:t>
      </w:r>
    </w:p>
    <w:p>
      <w:r>
        <w:t>Angesichts des Ungenügens der italienischen Zusicherung wäre die Vorinstanz im Hinblick auf die Anwendung der Souveränitätsklausel gehalten gewesen, zusätzliche, den Anforderungen der Rechtsprechung genügende Garantien einer adäquaten Unterbringung einzuholen oder die tatsächlichen Unterbringungsverhältnisse zu ermitteln. Der rechtserhebliche Sachverhalt ist mithin ungenügend abgeklärt (Art. 106 Abs. 1 Bst. b AsylG).</w:t>
      </w:r>
    </w:p>
    <w:p>
      <w:r>
        <w:rPr>
          <w:b/>
        </w:rPr>
        <w:t>E. 8.2</w:t>
      </w:r>
    </w:p>
    <w:p>
      <w:r>
        <w:t>Der Umfang der Sachverhaltsabklärungen und die gegenüber der Vorinstanz engere Kognition bei der Handhabung des Selbsteintrittsrechts (vgl. BVGE 2015/9 E. 7 und 8) verbietet die Herstellung der Entscheidsreife durch das Bundesverwaltungsgericht selbst. Die angefochtene Verfügung ist daher aufzuheben und die Sache an die Vorinstanz zu ergänzenden Sachverhaltsabklärungen und zu einer Neubeurteilung zurückzuweisen. In diesem Sinne ist die Beschwerde gutzuheissen.</w:t>
      </w:r>
    </w:p>
    <w:p>
      <w:r>
        <w:rPr>
          <w:b/>
        </w:rPr>
        <w:t>E. 9.1</w:t>
      </w:r>
    </w:p>
    <w:p>
      <w:r>
        <w:t>Bei diesem Ausgang des Verfahrens sind keine Verfahrenskosten aufzuerlegen (Art. 63 Abs. 1 und 2 VwVG)</w:t>
      </w:r>
    </w:p>
    <w:p>
      <w:r>
        <w:rPr>
          <w:b/>
        </w:rPr>
        <w:t>E. 9.2</w:t>
      </w:r>
    </w:p>
    <w:p>
      <w:r>
        <w:t>Den rechtskundig vertretenen Beschwerdeführenden ist für die ihnen erwachsenen notwendigen bzw. nicht mehr verhältnismässig geringen Kosten eine Parteientschädigung zu Lasten der Vorinstanz zuzusprechen (Art. 64 Abs. 1 VwVG und Art. 7 ff. des Reglements vom 21. Februar 2008 über die Kosten und Entschädigungen vor dem Bundesverwaltungsgericht [VGKE, SR 173.320.2]). Die Rechtsvertreterin hat in ihrer Honorarnote vom 12. März 2019 (Beilage zu Rek-act. 1) Aufwendungen in der Höhe von Fr. 870.- ausgewiesen. Dabei ging sie von einem zeitlichen Aufwand im Umfang von 4 Stunden bei einem Stundenansatz von Fr. 200.- sowie Barauslagen in der Höhe von Fr. 70.- aus. Die solchermassen in Rechnung gestellten Leistungen waren gerechtfertigt.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