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F-1204/2023 vom 9. März 2023</w:t>
      </w:r>
    </w:p>
    <w:p>
      <w:r>
        <w:t>Bundesverwaltungsgericht, 2023-03-09, DE</w:t>
      </w:r>
    </w:p>
    <w:p>
      <w:r>
        <w:rPr>
          <w:b/>
        </w:rPr>
        <w:t xml:space="preserve">Quelle: </w:t>
      </w:r>
      <w:r>
        <w:t>https://mcp.opencaselaw.ch/entscheid/bvger_F-1204_2023</w:t>
      </w:r>
    </w:p>
    <w:p>
      <w:r>
        <w:t>FR: TAF F-1204/2023 du 9 mars 2023</w:t>
      </w:r>
    </w:p>
    <w:p>
      <w:r>
        <w:t>IT: TAF F-1204/2023 del 9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machen aufgrund des Umstands, beim Dublin-Gespräch keine Rechtsvertretung an ihrer Seite gehabt zu haben, ohne dass sie explizit auf deren Anwesenheit verzichtet hätten, eine Verletzung des rechtlichen Gehörs geltend. Diese Rüge ist vorab zu beurteilen, da sie allenfalls geeignet wäre, eine Kassation der vorinstanzlichen Verfügung zu bewirken.</w:t>
      </w:r>
    </w:p>
    <w:p>
      <w:r>
        <w:rPr>
          <w:b/>
        </w:rPr>
        <w:t>E. 3.2</w:t>
      </w:r>
    </w:p>
    <w:p>
      <w:r>
        <w:t>Der Anspruch auf rechtliches Gehör (Art. 29 Abs. 2 BV und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Die Beschwerdeführenden berufen sich bezüglich der Abwesenheit der Rechtsvertretung während des Dublin-Gesprächs auf die ihrer Ansicht nach gleich gelagerten Urteile des Bundesverwaltungsgerichts D-5650/2022 vom 15. Dezember 2022 und E-4638/2022 vom 21. Oktober 2022, wobei in diesen beiden Urteilen die Sache an die Vorinstanz zur Neubeurteilung zurückgewiesen wurde. Dabei verkennen sie jedoch, dass die Vorinstanz es bei diesen beiden Fällen unterliess, die Protokolle der Dublin-Gespräche der Rechtsvertretung zukommen zu lassen. Im vorliegenden Fall stellte die Vorinstanz die Protokolle der Dublin-Gespräche der Rechtsvertretung zu (Akten der Vorinstanz act. 28) und diese hatte Gelegenheit zur Stellungnahme. Entscheidend ist sodann die durch den vorhandenen Eintrag in der Fingerabdruck-Datenbank "Eurodac" klare Sachlage in Bezug auf die Zuständigkeit Kroatiens. Obwohl die Rechtsvertretung ihren Rechtsschutzpflichten gemäss Art. 102h AsylG nicht vollumfänglich nachgekommen ist, worauf insbesondere auch der Hinweis der Beschwerdeführerin, dass kein Vorgespräch zum Dublin-Gespräch durchgeführt worden sein soll, hindeutet, ist auszuschliessen, dass deren Teilnahme am Dublin-Gespräch einen entscheidenden Einfluss auf die Verfügung der Vorinstanz gehabt hätte. Anhaltspunkte, wonach die Abwesenheit der damaligen Rechtsvertretung die Sachlage beeinflusst hätte, finden sich in der Beschwerdeschrift nicht. Die Pflichtverletzung ist somit nicht derart schwerwiegend, als dass sie im vorliegenden Fall die rechtmässige Erstellung des Sachverhalts verunmöglicht hätte. Es liegt damit keine Verletzung des rechtlichen Gehörs vor.</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w:t>
      </w:r>
    </w:p>
    <w:p>
      <w:r>
        <w:t>Die Beschwerdeführenden machen im Wesentlichen geltend, in Kroatien würden systemische Mängel vorliegen, weshalb gestützt auf Art. 3 Abs. 2 Dublin-III-VO die Schweiz auf ihre Asylgesuche einzutreten habe. Sie hätten in Kroatien kein korrektes Asylverfahren durchlaufen können, sondern seien von den kroatischen Beamten auf völkerrechtswidrige Weise zweimal weggewiesen worden ("Push-back"). Dabei seien sie Opfer von psychischer und physischer Gewalt geworden. Beim dritten Versuch, in Kroatien einzureisen, seien sie unter unmenschlichen Bedingungen von der kroatischen Polizei für einen Tag im Wald festgehalten und anschliessend gezwungen worden, ein Asylgesuch einzureichen. Die Beschwerdeführerin sei damals aufgrund einer kürzlich erfolgten Geburt sehr geschwächt gewesen. Die benötigte medizinische Hilfe infolge einer (...) sei ihr von der Polizei vor Ort und anschliessend auch im Asylzentrum verweigert worden. Aufgrund der drohenden Wegweisung aus der Schweiz seien sie psychisch stark angeschlagen und würden sich vor einer Rückkehr nach Kroatien fürchten. Die Beschwerdeführerin sei von den Vorfällen in Kroatien schwer traumatisiert, habe Albträume und sei schlaflos. Der Beschwerdeführer habe ebenfalls Albträume und bedrückende wiederkehrende Erinnerungen (Flashbacks) an die Vorfälle in Kroatien. Diese psychischen Beschwerden bedürften weiterer medizinischer Abklärungen.</w:t>
      </w:r>
    </w:p>
    <w:p>
      <w:r>
        <w:rPr>
          <w:b/>
        </w:rPr>
        <w:t>E. 6.1</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6.2</w:t>
      </w:r>
    </w:p>
    <w:p>
      <w:r>
        <w:t>Ein Abgleich der Fingerabdrücke der Beschwerdeführenden mit der "Eurodac"-Datenbank ergab, dass sie am 30. September 2022 in Kroatien ein Asylgesuch eingereicht hatten. Das SEM ersuchte deshalb die dortigen Behörden am 7. Dezember 2022 um Wiederaufnahme der Beschwerdeführenden gestützt auf Art. 23 Dublin-III-VO. Die kroatischen Behörden stimmten dem Gesuch innert der in Art. 25 Abs. 1 Dublin-III-VO festgelegten Frist zu. Die Zuständigkeit Kroatiens ist somit grundsätzlich gegeben, was von den Beschwerdeführenden auf Beschwerdeebene nicht bestritten wird.</w:t>
      </w:r>
    </w:p>
    <w:p>
      <w:r>
        <w:rPr>
          <w:b/>
        </w:rPr>
        <w:t>E. 7.1</w:t>
      </w:r>
    </w:p>
    <w:p>
      <w:r>
        <w:t>Erweist es sich als unmöglich, eine antragstellende Person in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Staat der zuständige Mitgliedstaat (Art. 3 Abs. 2 Dublin-III-VO).</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im Bereich der Wiederaufnahmeverfahren liegen zum heutigen Zeitpunkt keine Gründe für die Annahme vor, das Asylverfahren (inklusive Zuständigkeitsverfahren) und die Aufnahmebedingungen für Antragstellende in Kroatien würden systemische Schwachstellen im Sinne von Art. 3 Abs. 2 Sätze 2 und 3 Dublin-III-VO aufweisen (vgl. dazu beispielsweise die Urteile des BVGer F-3903/2022 vom 16. September 2022 E. 4; F-1653/2022 vom 21. April 2022 E. 6.2; D-1404/2022 vom 30. März 2022; D-1069/2023 vom 1. März 2023 E. 7.2.1).</w:t>
      </w:r>
    </w:p>
    <w:p>
      <w:r>
        <w:rPr>
          <w:b/>
        </w:rPr>
        <w:t>E. 7.3</w:t>
      </w:r>
    </w:p>
    <w:p>
      <w:r>
        <w:t>Die Vorinstanz hat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Urteile des BVGer D-1418/2022 vom 4. April 2022 E. 5.2.2; D-1404/2022 vom 30. März 2022 S. 7; D-1241/2022 vom 25. März 2022 S. 5; D-1069/2023 vom 1. März 2023 E. 7.2.3). Für eine Änderung der Rechtsprechung besteht auch in Würdigung der von den Beschwerdeführenden gemachten Äusserungen zu ihrer Behandlung in Kroatien und den zitierten Berichten keine Veranlassung. Unter diesen Umständen ist die Anwendung von Art. 3 Abs. 2 Dublin-III-VO nicht gerechtfertigt.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8.2</w:t>
      </w:r>
    </w:p>
    <w:p>
      <w:r>
        <w:t>Die Beschwerdeführenden haben kein konkretes und ernsthaftes Risiko dargetan, die kroatischen Behörden würden sich weigern, sie wieder aufzunehmen und ihren Antrag auf internationalen Schutz unter Einhaltung der Regeln der Verfahrensrichtlinie zu prüfen. Ausserdem haben die Beschwerdeführenden nicht dargetan, die sie bei einer Rückführung erwartenden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w:t>
      </w:r>
    </w:p>
    <w:p>
      <w:r>
        <w:rPr>
          <w:b/>
        </w:rPr>
        <w:t>E. 8.3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Die (...) der Beschwerdeführerin (vgl. auch (...) Beilage 5) ist nicht so gravierend, als dass sie einer Überstellung nach Kroatien entgegenstehen würde. Dies gilt auch für die von den Beschwerdeführenden geltend gemachten psychischen Beeinträchtigungen (Traumatisierung, Schlafprobleme, Albträume, Flashbacks) sowie für die (...) des Beschwerdeführers. Der Sachverhalt kann als erstellt erachtet werden und es ist nicht davon auszugehen, dass die geltend gemachten psychischen und gesundheitlichen Probleme bei einer Überstellung nach Kroatien eine tatsächliche Gefahr (real risk) einer Verletzung von Art. 3 EMRK mit sich bringen würden (vgl. BVGE 2011/9 E. 7 mit Hinweisen auf die Rechtsprechung des EGMR sowie Urteil des EGMR Paposhivili gegen Belgien vom 13. Dezember 2016 [Nr. 41738/10]). Unter diesen Umständen ist die Vorinstanz nicht dazu angehalten, von den kroatischen Behörden Zusicherungen zur dortigen Unterbringung, Verpflegung, medizinischen Versorgung und psychologischen Betreuung der Beschwerdeführenden einzuholen. Im Übrigen ist darauf hinzuweisen, dass Kroatien grundsätzlich über eine ausreichende medizinische Infrastruktur verfügt (Urteil des BVGer D-735/2022 vom 28. Februar 2022 E. 6.7.3). Die Mitgliedstaten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Bezüglich der Reisefähigkeit sowie der Durchführung der Überstellung (Art. 31 und Art. 32 Dublin-III-VO) kann auf die zutreffenden Ausführungen der Vorinstanz verwiesen werden.</w:t>
      </w:r>
    </w:p>
    <w:p>
      <w:r>
        <w:rPr>
          <w:b/>
        </w:rPr>
        <w:t>E. 8.4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8.5</w:t>
      </w:r>
    </w:p>
    <w:p>
      <w:r>
        <w:t>Unter diesen Umständen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10</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11</w:t>
      </w:r>
    </w:p>
    <w:p>
      <w:r>
        <w:t>Nach dem Gesagten ist die Beschwerde abzuweisen und die Verfügung des SEM zu bestätigen. Mit dem vorliegenden Urteil fällt der am 2. März 2023 angeordnete Vollzugsstopp dahin. Das Gesuch um Erteilung der aufschiebenden Wirkung ist gegenstandslos geworden.</w:t>
      </w:r>
    </w:p>
    <w:p>
      <w:r>
        <w:rPr>
          <w:b/>
        </w:rPr>
        <w:t>E. 12.1</w:t>
      </w:r>
    </w:p>
    <w:p>
      <w:r>
        <w:t>Die Begehren erweisen sich als aussichtslos, weshalb die Gesuche um Gewährung der unentgeltlichen Prozessführung und Bestellung einer amtlichen Rechtsverbeiständung ungeachtet einer allfälligen prozessualen Bedürftigkeit abzuweisen sind (Art. 65 Abs. 1 VwVG und Art. 102m AsylG).</w:t>
      </w:r>
    </w:p>
    <w:p>
      <w:r>
        <w:rPr>
          <w:b/>
        </w:rPr>
        <w:t>E. 12.2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