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F-1188/2023 vom 8. Mai 2023</w:t>
      </w:r>
    </w:p>
    <w:p>
      <w:r>
        <w:t>Bundesverwaltungsgericht, 2023-05-08, DE</w:t>
      </w:r>
    </w:p>
    <w:p>
      <w:r>
        <w:rPr>
          <w:b/>
        </w:rPr>
        <w:t xml:space="preserve">Quelle: </w:t>
      </w:r>
      <w:r>
        <w:t>https://mcp.opencaselaw.ch/entscheid/bvger_F-1188_2023</w:t>
      </w:r>
    </w:p>
    <w:p>
      <w:r>
        <w:t>FR: TAF F-1188/2023 du 8 mai 2023</w:t>
      </w:r>
    </w:p>
    <w:p>
      <w:r>
        <w:t>IT: TAF F-1188/2023 del 8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Auf die Durchführung eines Schriftenwechsels wurde verzichtet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4.4</w:t>
      </w:r>
    </w:p>
    <w:p>
      <w:r>
        <w:t>Die Beschwerdeführerin bestreitet nicht, in Kroatien illegal eingereist zu sein. Nachdem die kroatischen Behörden nach erneuter Prüfung dem Aufnahmegesuch der Vorinstanz innert der in Art. 5 Abs. 2 der Verordnung Nr. 1560/2003 festgelegten Frist zugestimmt haben, ist die Zuständigkeit Kroatiens gestützt auf Art. 13 Abs. 1 Dublin-III-VO grundsätzlich gegeben.</w:t>
      </w:r>
    </w:p>
    <w:p>
      <w:r>
        <w:rPr>
          <w:b/>
        </w:rPr>
        <w:t>E. 5.1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 Bei dieser Entscheidung kommt der Vorinstanz Ermessen zu; das Bundesverwaltungsgericht darf sein eigenes Ermessen nicht an dessen Stelle setzen (BVGE 2015/9 E. 7.6 und E. 8.1 in fine).</w:t>
      </w:r>
    </w:p>
    <w:p>
      <w:r>
        <w:rPr>
          <w:b/>
        </w:rPr>
        <w:t>E. 6</w:t>
      </w:r>
    </w:p>
    <w:p>
      <w:r>
        <w:t>Gemäss konstanter Rechtsprechung des Bundesverwaltungsgerichts weist das Asylverfahren und die Aufnahmebedingungen für Antragstellende in Kroatien keine systemischen Schwachstellen im Sinne von Art. 3 Abs. 2 zweiter und dritter Satz Dublin-III-VO auf (vgl. Urteil E-1488/2020 vom 22. März 2023 [zur Publikation als Referenzurteil vorgesehen] E. 9.5). Auch unter Berücksichtigung der auf Beschwerdeebene zitierten Berichte sowie der von der Beschwerdeführerin geschilderten Erlebnisse mit Polizeibeamten ist nicht davon auszugehen, Kroatien verstosse systematisch gegen seine vertraglichen Verpflichtungen als zuständiger Dublin-Mitgliedstaat im Falle einer Rücküberstellung von Asylsuchenden. Der Verdacht eines - angesichts der Situation in Kroatien nicht unbegründeten - Gefährdungszusammenhangs zwischen Push-backs und Dublin-Rückkehr lässt sich aufgrund der verfügbaren Informationen nicht erhärten. Es bestehen keine Anhaltspunkte dafür, Dublin-Rückkehrende würden ohne Eröffnung und Durchführung eines Asylverfahrens rechtswidrig aus Kroatien ausgeschafft (vgl. a.a.O. E. 9.4.4). Die Anwendung von Art. 3 Abs. 2 Dublin-III-VO ist folglich nicht gerechtfertigt.</w:t>
      </w:r>
    </w:p>
    <w:p>
      <w:r>
        <w:rPr>
          <w:b/>
        </w:rPr>
        <w:t>E. 7.1</w:t>
      </w:r>
    </w:p>
    <w:p>
      <w:r>
        <w:t>Schliesslich ist zu prüfen, ob das Selbsteintrittsrecht nach Art. 17 Abs. 1 erster Satz Dublin-III-VO beziehungsweise Art. 29a Abs. 3 AsylV 1 auszuüben ist.</w:t>
      </w:r>
    </w:p>
    <w:p>
      <w:r>
        <w:rPr>
          <w:b/>
        </w:rPr>
        <w:t>E. 7.2</w:t>
      </w:r>
    </w:p>
    <w:p>
      <w:r>
        <w:t>Die Beschwerdeführerin macht im Wesentlichen geltend, sie sei von kroatischen Polizeibeamten sexuell belästigt und unmenschlich behandelt worden. Eine Überstellung nach Kroatien verstosse demnach gegen das Übereinkommen des Europarats zur Verhütung und Bekämpfung von Gewalt gegen Frauen und häuslicher Gewalt (Istanbul-Konvention; SR 0.311.35) sowie gegen das Übereinkommen zur Beseitigung jeder Form von Diskriminierung der Frau (CEDAW; SR 0.108). Ferner sei fraglich, ob sie in Kroatien Zugang zu einem rechtsstaatlichen Asylverfahren haben werde. Es bestehe die Gefahr einer Kettenabschiebung nach Burundi. Schliesslich sei mangels gesicherten Zugangs zu psychiatrischen Behandlungen von einer Verschlechterung ihres psychischen Gesundheitszustands bei einer Überstellung nach Kroatien auszugehen.</w:t>
      </w:r>
    </w:p>
    <w:p>
      <w:r>
        <w:rPr>
          <w:b/>
        </w:rPr>
        <w:t>E. 7.3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Die Beschwerdeführerin vermag nicht darzutun, dass die bei einer Rückführung im Rahmen des Dublin-Verfahrens nach Kroatien zu erwartenden Bedingungen derart schlecht wären, dass diese zu einer Verletzung von Art. 3 EMRK führen könnten. Daran vermögen auch die auf Beschwerdeebene zitierten Berichte von Nichtregierungsorganisationen nichts zu ändern. Der Beschwerdeführerin steht nach Ankunft in Kroatien die Möglichkeit offen, ein Asylgesuch einzureichen und ihre Fluchtgründe sowie allfällige Wegweisungsvollzugshindernisse geltend zu machen. Es bestehen keine Gründe für die Annahme, Kroatien werde den Grundsatz des Non-Refoulement missachten und sie zur Ausreise in ein Land zwingen, in dem ihr Leib, ihr Leben oder ihre Freiheit aus einem Grund nach Art. 3 Abs. 1 AsylG gefährdet wäre oder in dem sie Gefahr laufen würde, zur Ausreise in ein solches Land gezwungen zu werden. Betreffend die geltenden gemachten sexuellen Belästigungen durch Polizeibeamte ist festzuhalten, dass die Glaubhaftigkeit dieses Vorbringens nicht abschliessend beurteilt werden muss. Die Beschwerdeführerin wird sich nach der Dublin-Überstellung in einer anderen Situation befinden als bei ihrer illegalen Einreise nach Kroatien. Sollte sie sich künftig von Behördenvertretern oder Drittpersonen rechtswidrig behandelt fühlen, hat sie sich an das Justizwesen Kroatiens oder dortige Aufsichtsbehörden zu wenden. Kroatien ist Signatarstaat der Istanbul-Konvention und des CEDAW und kommt seinen diesbezüglichen völkerrechtlichen Verpflichtungen grundsätzlich nach. Schliesslich hat die Vorinstanz die vorgebrachten Erlebnisse der Beschwerdeführerin in die Entscheidfindung einfliessen lassen und eine Einzelfallprüfung vorgenommen. Die Rügen der unvollständigen und unrichtigen Feststellung des rechtserheblichen Sachverhalts sowie einer Verletzung der Begründungspflicht im Zusammenhang mit dem kroatischen Asylsystem und den Aufnahmebedingungen erweisen sich als unbegründet. Von einer Rückweisung zu weiteren Sachverhaltsabklärungen ist deshalb in antizipierter Beweiswürdigung abzusehen (vgl. BGE 141 I 60 E. 3.3; 136 I 229 E. 5.3).</w:t>
      </w:r>
    </w:p>
    <w:p>
      <w:r>
        <w:rPr>
          <w:b/>
        </w:rPr>
        <w:t>E. 7.5</w:t>
      </w:r>
    </w:p>
    <w:p>
      <w:r>
        <w:t>Betreffend den Gesundheitszustand lässt sich den vorinstanzlichen Akten entnehmen, dass sich die Beschwerdeführerin am 16. Januar 2023 wegen Augen- und Menstruationsbeschwerden, Halsschmerzen sowie Beschwerden im Mundbereich beim medizinischen Personal gemeldet und entsprechende Arzneimittel erhalten hat. Psychische Probleme hat sie nicht geltend gemacht. Bei dieser Sachlage ist nicht ersichtlich, inwiefern Abklärungen zum psychischen Gesundheitszustand erforderlich gewesen wären. Der medizinische Sachverhalt ist demnach als erstellt zu erachten (vgl. BGE 141 I 60 E. 3.3; 136 I 229 E. 5.3). Die von der Beschwerdeführerin gemachten gesundheitlichen Beeinträchtigungen sind nicht derart gravierend, dass in Anwendung von Art. 3 EMRK von einer Überstellung nach Kroatien abgesehen werden müsste (vgl. dazu Urteil des EGMR Paposhvili gegen Belgien vom 13. Dezember 2016, Grosse Kammer, 41738/10, §§ 180-193 m.w.H.). Im Übrigen verfügt Kroatien über eine ausreichende medizinische Infrastruktur und ist verpflichtet, den Antragstellenden die erforderliche medizinische Versorgung zugänglich zu machen (vgl. Art. 19 Abs. 1 Aufnahmerichtlinie). Entgegen den Ausführungen auf Beschwerdeebene ist der Zugang zu psychologischer Behandlung grundsätzlich gewährleistet (vgl. statt vieler: Urteile D-516/2023 vom 11. April 2023 E. 6.5.2; F-12/2023 vom 27. März 2023 E. 7.4.3). Folglich droht keine Verletzung von Art. 3 EMRK, weshalb die Schweiz nicht zum Selbsteintritt nach Art. 17 Abs. 1 Dublin-III-VO verpflichtet ist. Bei dieser Sachlage besteht kein Anlass für die Einholung individueller Garantien bezüglich des Zugangs zum Asylverfahren, adäquater medizinischer Versorgung sowie Unterbringung. Der entsprechende Subeventualantrag ist abzuweisen.</w:t>
      </w:r>
    </w:p>
    <w:p>
      <w:r>
        <w:rPr>
          <w:b/>
        </w:rPr>
        <w:t>E. 7.6</w:t>
      </w:r>
    </w:p>
    <w:p>
      <w:r>
        <w:t>Hinsichtlich eines allfälligen Selbsteintritts aufgrund humanitärer Gründe nach Art. 29a Abs. 3 AsylV 1 hat die Vorinstanz ihr Ermessen korrekt ausgeübt.</w:t>
      </w:r>
    </w:p>
    <w:p>
      <w:r>
        <w:rPr>
          <w:b/>
        </w:rPr>
        <w:t>E. 7.7</w:t>
      </w:r>
    </w:p>
    <w:p>
      <w:r>
        <w:t>Die Vorinstanz ist demnach zu Recht auf das Asylgesuch der Beschwerdeführerin nicht eingetreten und hat ihre Wegweisung nach Kroatien angeordnet.</w:t>
      </w:r>
    </w:p>
    <w:p>
      <w:r>
        <w:rPr>
          <w:b/>
        </w:rPr>
        <w:t>E. 8</w:t>
      </w:r>
    </w:p>
    <w:p>
      <w:r>
        <w:t>Nach dem Gesagten ist die Beschwerde abzuweisen.</w:t>
      </w:r>
    </w:p>
    <w:p>
      <w:r>
        <w:rPr>
          <w:b/>
        </w:rPr>
        <w:t>E. 9</w:t>
      </w:r>
    </w:p>
    <w:p>
      <w:r>
        <w:t>Entsprechend dem Ausgang des Verfahrens wären die Kosten der Beschwerdeführerin aufzuerlegen (Art. 63 Abs. 1 VwVG). Da ihr mit Zwischenverfügung vom 8. März 2023 die unentgeltliche Prozessführung gemäss Art. 65 Abs. 1 VwVG gewährt wurde, sind keine Verfahrenskosten zu erheben.</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