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F-1187/2022 vom 7. Oktober 2022</w:t>
      </w:r>
    </w:p>
    <w:p>
      <w:r>
        <w:t>Bundesverwaltungsgericht, 2022-10-07, FR</w:t>
      </w:r>
    </w:p>
    <w:p>
      <w:r>
        <w:rPr>
          <w:b/>
        </w:rPr>
        <w:t xml:space="preserve">Quelle: </w:t>
      </w:r>
      <w:r>
        <w:t>https://mcp.opencaselaw.ch/entscheid/bvger_F-1187_2022</w:t>
      </w:r>
    </w:p>
    <w:p>
      <w:r>
        <w:t>FR: TAF F-1187/2022 du 7 octobre 2022</w:t>
      </w:r>
    </w:p>
    <w:p>
      <w:r>
        <w:t>IT: TAF F-1187/2022 del 7 ottobre 2022</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TF]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La recourante 1, agissant pour elle-même et sa fille mineure, a qualité pour recourir (cf. art. 48 al. 1 PA en relation avec les art. 19c al. 2, 296 al. 2, 304 al. 1 et al. 2 CC ; arrêts du TAF F-3807/2018 du 3 avril 2019 consid. 1.3 et F-4546/2018 du 16 août 2018).</w:t>
      </w:r>
    </w:p>
    <w:p>
      <w:r>
        <w:rPr>
          <w:b/>
        </w:rPr>
        <w:t>E. 1.4</w:t>
      </w:r>
    </w:p>
    <w:p>
      <w:r>
        <w:t>Pour le surplus,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respectivement la prolongation d'une autorisation de séjour en application de l'art. 85 OASA (cf. ATF 141 II 169 consid. 4 ainsi que l'art. 4 let. d et l'art. 5 let. d de l'ordonnance du DFJP relative aux autorisations soumises à la procédure d'approbation et aux décisions préalables dans le domaine du droit des étrangers [ci-après : ordonnance DFJP ; RS 142.201.1]). Il s'ensuit que, ni le SEM, ni a fortiori le Tribunal, ne sont liés par la décision du SPOP du 20 juillet 2021 de prolonger l'autorisation de séjour de l'intéressée et peuvent s'écarter de l'appréciation faite par l'autorité cantonale.</w:t>
      </w:r>
    </w:p>
    <w:p>
      <w:r>
        <w:rPr>
          <w:b/>
        </w:rPr>
        <w:t>E. 4</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4.1</w:t>
      </w:r>
    </w:p>
    <w:p>
      <w:r>
        <w:t>La LEI n'est applicable aux membres de la famille des ressortissants des Etats membres de la Communauté européenne que dans la mesure où l'ALCP n'en dispose pas autrement ou lorsque la loi fédérale prévoit des dispositions plus favorables (art. 2 al. 2 LEI).</w:t>
      </w:r>
    </w:p>
    <w:p>
      <w:r>
        <w:rPr>
          <w:b/>
        </w:rPr>
        <w:t>E. 4.2</w:t>
      </w:r>
    </w:p>
    <w:p>
      <w:r>
        <w:t>En application de l'ALCP,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p. 395; 130 II 113 consid. 9.4 p. 134; arrêt du TF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w:t>
      </w:r>
    </w:p>
    <w:p>
      <w:r>
        <w:rPr>
          <w:b/>
        </w:rPr>
        <w:t>E. 4.3</w:t>
      </w:r>
    </w:p>
    <w:p>
      <w:r>
        <w:t>Selon l'art. 44 al. 1 LEI, le conjoint du titulaire d'une autorisation d'établissement a droit à l'octroi d'une autorisation de séjour et à la prolongation de sa durée de validité, à condition de vivre en ménage commun avec lui, l'art. 49 LEI prévoyant cependant une exception à l'exigence du ménage commun lorsque la communauté familiale est maintenue et que des raisons majeures propres à justifier l'existence de domiciles séparés peuvent être invoquées.</w:t>
      </w:r>
    </w:p>
    <w:p>
      <w:r>
        <w:rPr>
          <w:b/>
        </w:rPr>
        <w:t>E. 4.4</w:t>
      </w:r>
    </w:p>
    <w:p>
      <w:r>
        <w:t>En l'espèce, la recourante 1 s'est mariée le (...) 2016 en secondes noces avec un ressortissant roumain titulaire d'une autorisation de séjour UE/AELE en Suisse. Elle est arrivée en Suisse une seconde fois le 30 avril 2016 (cf. dossier cantonal, pièce 87). La séparation a eu lieu le 25 janvier 2019 et le divorce a été prononcé le 10 mars 2020 par le Tribunal d'arrondissement de la Broye et du Nord vaudois (cf. dossier cantonal, pièce 56). Dans ces conditions, la recourante 1 ne peut plus se prévaloir, en lien avec cette union, de l'art. 44 LEI (cf. ATF 136 II 113 consid. 3.2, par analogie), de l'art. 8 par. 1 CEDH (cf. ATF 144 II 1 consid. 6.1, 135 I 143 consid. 1.3.2) ou de l'art. 3 par. 1 et 2 Annexe I ALCP en relation avec l'art. 7 let. d ALCP (cf. ATF 139 II 393 consid. 2.1, 130 II 113 consid. 9.4 et 9.5) pour obtenir le renouvellement de son autorisation de séjour.</w:t>
      </w:r>
    </w:p>
    <w:p>
      <w:r>
        <w:rPr>
          <w:b/>
        </w:rPr>
        <w:t>E. 5</w:t>
      </w:r>
    </w:p>
    <w:p>
      <w:r>
        <w:t>Il convient dès lors d'examiner si la recourante 1 peut se prévaloir d'un droit au renouvellement de son autorisation de séjour en vertu de l'art. 50 LEI.</w:t>
      </w:r>
    </w:p>
    <w:p>
      <w:r>
        <w:rPr>
          <w:b/>
        </w:rPr>
        <w:t>E. 5.1</w:t>
      </w:r>
    </w:p>
    <w:p>
      <w:r>
        <w:t>Cette disposition ne concerne, selon sa teneur, que les membres étrangers de la famille d'un ressortissant suisse respectivement d'un ressortissant étranger au bénéfice d'une autorisation d'établissement (au sens des art. 42 et 43 LEI, auxquels il est renvoyé). Eu égard au principe de non-discrimination prévu par l'art. 2 ALCP, il se justifie toutefois de traiter l'ex-conjoint d'un ressortissant de l'UE de la même manière que l'ex-conjoint d'un ressortissant suisse et, partant, de le faire bénéficier de l'art. 50 LEI même si le ressortissant de l'UE concerné ne bénéficiait que d'une autorisation de séjour UE/AELE et non pas d'une autorisation d'établissement. Le champ d'application de l'art. 2 ALCP dépend toutefois du droit à une autorisation de séjour de l'ex-conjoint ressortissant de l'UE; si ce dernier ne dispose (plus) d'aucun droit de séjour en Suisse, le principe de non-discrimination ne trouve pas application aux fins de régler ses relations familiales (ATF 144 II 1 consid. 4.7; cf. ég. TF 2C_20/2019 du 13 mai 2019 consid. 6). En l'espèce, l'ex-époux de l'intéressée de nationalité roumaine séjourne toujours en Suisse au bénéfice d'une autorisation de séjour, de sorte que c'est à juste titre que la SEM a appliqué l'art. 50 LEI.</w:t>
      </w:r>
    </w:p>
    <w:p>
      <w:r>
        <w:rPr>
          <w:b/>
        </w:rPr>
        <w:t>E. 5.2</w:t>
      </w:r>
    </w:p>
    <w:p>
      <w:r>
        <w:t>Aux termes de l'art. 50 al. 1 let. a LEI, après dissolution de la famille, le droit du conjoint à l'octroi d'une autorisation de séjour et à la prolongation de sa durée de validité subsiste si l'union conjugale a duré au moins trois ans et les critères d'intégration définis à l'art. 58a LEI sont remplis. L'art. 50 al. 1 let. a LEI confère à l'étranger, dont l'union conjugale a duré au moins trois ans et dont l'intégration en Suisse est réussie, selon les critères définis à l'art. 58a LEI, un droit au renouvellement de son autorisation de séjour ; les cas de rigueur de l'art. 50 al. 1 let. b LEI sont quant à eux plus spécialement prévus pour les situations, dans lesquelles les conditions de l'art. 50 al. 1 let. a LEI ne sont pas réalisées (ATF 138 II 393 consid. 3.1 et 137 II 345 consid. 3.2.1). Les deux conditions posées par l'art. 50 al. 1 let. a LEI sont cumulatives (ATF 140 II 345 consid. 4 et 136 II 113 consid. 3.3.3).</w:t>
      </w:r>
    </w:p>
    <w:p>
      <w:r>
        <w:rPr>
          <w:b/>
        </w:rPr>
        <w:t>E. 5.2.1</w:t>
      </w:r>
    </w:p>
    <w:p>
      <w:r>
        <w:t>La notion d'union conjugale de l'art. 50 al. 1 let. a LEI ne se confond pas avec le mariage. Alors que ce dernier peut être purement formel, l'union conjugale implique en principe la vie en commun des époux, sous réserve des exceptions mentionnées à l'art. 49 LEI (ATF 136 II 113 consid. 3.2; arrêt du TF 2C_980/2014 du 2 juin 2015 consid. 3.1). Pour déterminer la durée de l'union conjugale,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LEI (ATF 137 II 345 consid. 3.1.3; arrêt du TF 2C_808/2015 du 23 octobre 2015 consid. 3.1).</w:t>
      </w:r>
    </w:p>
    <w:p>
      <w:r>
        <w:rPr>
          <w:b/>
        </w:rPr>
        <w:t>E. 5.2.2</w:t>
      </w:r>
    </w:p>
    <w:p>
      <w:r>
        <w:t>En l'espèce, il résulte que la vie commune a débuté au moment de la seconde entrée de la recourante 1 en Suisse, soit le 30 avril 2016, et a pris fin au moment de la séparation du 25 janvier 2019 avec son époux(cf., notamment, dossier cantonal, pièce 56). Ne peuvent ainsi être comptabilisées une ou plusieurs périodes de vie commune de courte durée interrompues par de longues séparations lorsque le couple ne manifeste pas l'intention ferme de poursuivre son union conjugale (cf. ATF 140 II 345 consid. 4.5.2 et 4.5.3 ; arrêts du Tribunal fédéral 2C_50/2015 du 26 juin 2015 consid. 3.3.2 et 2C_88/2017 du 30 janvier 2017 consid. 1 et 6.2). De même, le cumul n'est pas possible entre deux unions distinctes. La durée de l'union conjugale à prendre en considération a donc duré moins de trois ans.</w:t>
      </w:r>
    </w:p>
    <w:p>
      <w:r>
        <w:rPr>
          <w:b/>
        </w:rPr>
        <w:t>E. 5.2.3</w:t>
      </w:r>
    </w:p>
    <w:p>
      <w:r>
        <w:t>La première condition posée par l'art. 50 al. 1 let. a LEI n'est ainsi pas remplie. Cette condition et celle de l'intégration réussie étant cumulatives (ATF 136 II 113 consid. 3.3.3), il est renoncé à examiner plus avant cette dernière. La recourante 1 ne peut dès lors pas se prévaloir de l'art. 50 al. 1 let. a LEI pour prétendre au renouvellement de son autorisation de séjour.</w:t>
      </w:r>
    </w:p>
    <w:p>
      <w:r>
        <w:rPr>
          <w:b/>
        </w:rPr>
        <w:t>E. 5.3</w:t>
      </w:r>
    </w:p>
    <w:p>
      <w:r>
        <w:t>Il y a encore lieu d'examiner si la poursuite du séjour des recourantes en Suisse s'impose au sens de l'art. 50 al. 1 let. b et al. 2 LEI.</w:t>
      </w:r>
    </w:p>
    <w:p>
      <w:r>
        <w:rPr>
          <w:b/>
        </w:rPr>
        <w:t>E. 5.3.1</w:t>
      </w:r>
    </w:p>
    <w:p>
      <w:r>
        <w:t>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 L'art. 50 al. 2 LEI précise que les "raisons personnelles majeures"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(voir aussi l'art. 77 OASA, qui reprend la teneur de l'art. 50 al. 2 LEI).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TAFF-6860/2016 du 6 juillet 2018 consid. 5.2.1).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et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(cf. art. 30 al. 1 let. b LEI),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consid. 3.2.2 et 3.2.3 sur la notion de "raisons personnelles majeures").</w:t>
      </w:r>
    </w:p>
    <w:p>
      <w:r>
        <w:rPr>
          <w:b/>
        </w:rPr>
        <w:t>E. 5.3.2</w:t>
      </w:r>
    </w:p>
    <w:p>
      <w:r>
        <w:t>En l'espèce, la recourante a séjourné entre 2010 et 2014, puis depuis avril 2016 en Suisse, soit plus de neuf ans. Lors de sa seconde entrée en Suisse, elle a affirmé venir de Roumanie (cf. dossier cantonal, pièce 87). Cependant, il n'apparaît pas qu'elle se soit créé avec ce pays des attaches à ce point étroites qu'elle serait devenue étrangère à son pays d'origine malgré les lettres de soutien produites à son égard (cf. act. 3 TAF, pièce 14). En effet, la prénommée, arrivée en Suisse à l'âge de vingt-cinq ans, a passé à l'étranger son enfance, son adolescence et les premières années de sa vie d'adulte, années qui apparaissent comme essentielles pour la formation de la personnalité et, partant, pour l'intégration sociale et culturelle (ATAF 2007/45 consid. 7.6). A l'exclusion de son ex-époux, la recourante 1 n'a aucune attache familiale en Suisse. Elle a d'ailleurs affirmé en 2019 que toute sa famille et ses amis se trouvaient au Brésil, qu'elle souhaitait y retourner et n'avait aucune raison de rester en Suisse (cf. dossier cantonal, pièce 76). L'intéressée a affirmé être retournée du Brésil en Suisse en octobre 2017 (cf. act. 7 TAF, pièce 27). Dans ce pays vivent également le père biologique de la recourante 2, ainsi que sa grand-mère qui l'a principalement élevée (cf. act. 7 TAF, pièce 24). Par conséquent, les racines socioculturelles de l'intéressée se trouvent à l'évidence au Brésil. Dans ces conditions, elle a conservé, dans son pays d'origine, un cercle d'amis et de connaissances susceptibles de favoriser son retour. De surcroît, la recourante 1 a notamment exercé dans la prostitution, la manutention et la restauration, puis a effectué des missions temporaires auprès d'une entreprise de placement. Actuellement, l'intéressée est au bénéfice d'un contrat de durée indéterminée à temps partiel depuis le 1er octobre 2020 en qualité de caissière polyvalente dans un supermarché (cf. act. 3 TAF, pièces 4 et 23 ; act. 7 TAF, pièce 24 ; dossier SEM, pièce 26). De cette manière, elle n'a pas réalisé une ascension professionnelle telle qu'un retour dans son pays d'origine ne pourrait plus être exigé. Concernant la recourante 2, actuellement âgée de trois ans, elle n'est pas encore scolarisée et se trouve encore dans un fort lien de dépendance avec sa mère. La recourante 1 exerce seule la garde et détient l'autorité parentale sur son enfant. Il s'ensuit qu'un renvoi n'entraînerait pas une séparation de l'enfant de sa mère puisque, dans cette hypothèse, celui-ci partagera son sort du point de vue du droit des étrangers (voir à ce sujet arrêt du TF 2C_75/2011 du 6 avril 2011 consid. 3.4; arrêt du TAF-5697/2017 du 11 novembre 2019 consid. 8.2). Ne faisant pas valoir d'obstacle à leur retour au Brésil, les recourantes sont donc en mesure d'intégrer ou réintégrer à la société brésilienne. Le fait que les intéressées doivent affronter certaines difficultés à leur retour ne suffit pas à établir l'existence d'un cas de rigueur au sens de l'art. 50 al. 1 let. b LEI (cf., notamment, arrêts du TF 2C_1258/2012 du 2 août 2013 consid. 5.2).</w:t>
      </w:r>
    </w:p>
    <w:p>
      <w:r>
        <w:rPr>
          <w:b/>
        </w:rPr>
        <w:t>E. 5.3.3</w:t>
      </w:r>
    </w:p>
    <w:p>
      <w:r>
        <w:t>Il s'agit encore d'examiner l'argument de la recourante 1 selon lequel les violences conjugales dont elle aurait été victime justifieraient la poursuite de son séjour en Suisse. 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et arrêts du TF 2C_956/2013 du 11 avril 2014 consid. 3.1 et 2C_784/2013 du 11 février 2014 consid. 4.1).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 138 II 229 consid. 3.2.1). A l'instar de violences physiques, seuls des actes de violence psychique d'une intensité particulière peuvent justifier l'application de l'art. 50 al. 1 let. b LEI (arrêt du TF 2C_1085/2017 du 22 mai 2018 consid. 3.1). Le fait d'exercer des contraintes psychiques d'une certaine constance et intensité peut fonder un cas de rigueur après dissolution de la communauté conjugale, au sens de l'art. 50 al. 1 let. b et al. 2 LEI (arrêt du TF 2C_361/2018 consid. 4.1). Des insultes proférées à l'occasion d'une dispute, une gifle assénée, le fait pour un époux étranger d'avoir été enfermé une fois dehors par son conjoint ne sont pas assimilés à de la violence conjugale au sens de l'art. 50 al. 2 LEI (cf. ATF 136 II 1 consid. 5).</w:t>
      </w:r>
    </w:p>
    <w:p>
      <w:r>
        <w:rPr>
          <w:b/>
        </w:rPr>
        <w:t>E. 5.3.4</w:t>
      </w:r>
    </w:p>
    <w:p>
      <w:r>
        <w:t>La personne étrangère qui se prétend victime de violences conjugales sous l'angle de l'art. 50 al. 1 let. b et al. 2 LEI est soumise à un devoir de coopération accru. Elle doit rendre vraisemblable, par des moyens appropriés, la violence conjugale, respectivement l'oppression domestique alléguée (cf. art. 77 al. 6 et al. 6bis OASA et arrêt du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 saurait cependant être question de nier des violences conjugales au sens de l'art. 50 al. 1 let. b LEI ou de les minimiser au motif que ce n'est pas la victime qui a quitté le foyer conjugal, qu'il n'y a pas eu de scènes de violence physique nécessitant une intervention médicale d'urgence ou encore qu'il n'y a pas eu de plainte pénale ou d'action civile (arrêt du TF 2C_361/2018 consid. 4.6.2).</w:t>
      </w:r>
    </w:p>
    <w:p>
      <w:r>
        <w:rPr>
          <w:b/>
        </w:rPr>
        <w:t>E. 5.4</w:t>
      </w:r>
    </w:p>
    <w:p>
      <w:r>
        <w:t>En l'espèce, la recourante 1 a indiqué avoir été victime de violences conjugales de la part de son ex-époux. Elle a été interrogée par la Police de l'Ouest lausannois, a produit des observations, ainsi que deux demandes d'admission volontaires au sein du Centre de Psychiatrie du Nord Vaudois (ci-après : le CPNVD) et plusieurs rapports médicaux, tous datés entre 2017 et 2018, une attestation d'un cabinet de psychologues et un rapport du Centre d'accueil MalleyPrairie. Il ressort, en substance, des pièces et des faits décrits par la recourante 1 que son couple connaissait une situation de crise. Ainsi, son ex-époux ne se serait pas montré responsable concernant la gestion des finances. L'intéressée a également décrit une relation très difficile avec son ex-belle-famille, plus particulièrement avec son ex-beau-frère, lequel aurait souffert de schizophrénie et son ex-beau-père qu'elle a décrit comme alcoolique. Le 26 juillet 2017, l'intéressée a relaté une dispute avec son futur ex-époux au sujet de son futur ex-beau-père et de l'achat de billets d'avion. Ladite dispute se serait envenimée. L'intéressée se serait enfermée dans la salle de bain et aurait tenté de s'ouvrir les veines de l'avant-bras à l'aide d'un couteau. N'y arrivant pas, elle aurait décidé de consommer des médicaments dans un but suicidaire, à savoir du Paracétamol et du Novalgine. La recourante 1 a été admise volontairement au CPNVD du 27 juillet 2017 au 9 août 2017 afin d'évaluer un potentiel suicidaire. Elle aurait encore eu des idées suicidaires depuis avril 2018, soit au moment d'une séparation avec son futur ex-époux. La recourante 1 a été hospitalisée volontairement au CPNVD du 19 avril au 20 avril 2018. La recourante 2 est née le 18 décembre 2018. Cette dernière a fait l'objet d'une action en désaveu de paternité. Au terme de la procédure, le Tribunal civil l'a reconnue comme étant uniquement la fille de la recourante 1. La séparation définitive entre les époux a eu lieu le 25 janvier 2019 et le divorce a été prononcé le 10 mars 2020.</w:t>
      </w:r>
    </w:p>
    <w:p>
      <w:r>
        <w:rPr>
          <w:b/>
        </w:rPr>
        <w:t>E. 5.5.1</w:t>
      </w:r>
    </w:p>
    <w:p>
      <w:r>
        <w:t>La recourante 1 a produit une première demande d'admission volontaire du 27 juillet 2017 au 9 août 2017 au CPNVD. Ladite admission est décrite dans le rapport du 14 août 2017. Il en ressort que l'intéressée se sentait épuisée dans son contexte familial. Elle a avancé ne plus pouvoir assumer toutes ses responsabilités, ainsi que la présence intrusive de sa future ex-belle-famille. Dans ce contexte, l'intéressée a décrit avoir eu depuis plusieurs semaines des idées suicidaires en relation avec ledit épuisement et l'incompréhension de son futur ex-époux, ainsi qu'à la péjoration des relations avec sa future ex-belle-famille. L'intéressée a indiqué souffrir de solitude et n'avoir personne à qui se confier. Sur le plan psychique, elle a dit avoir bénéficié d'un suivi pédopsychiatrique durant plusieurs années au Brésil et avoir déjà commis un abus médicamenteux à but suicidaire à l'âge de quatorze ans. La recourante 1 a exprimé souhaiter bénéficier d'un suivi psychologique en Suisse mais y aurait renoncé à cause de ses difficultés financières. Un épisode dépressif moyen avec syndrome somatique a été diagnostiqué. L'hypothèse de crise avancée était une perturbation au sein du couple de l'intéressée avec un fort sentiment de rejet et de dévalorisation réactivé par les carences affectives durant son enfance (cf. act. 7 TAF, pièce 24). Les notes ambulatoires du 15 septembre 2017 au sujet de l'intéressée font ressortir une légère amélioration dans la relation avec son futur ex-époux malgré une cohabitation de son beau-frère avec le couple. Ledites notes du 9 octobre 2017 laissent apparaître que la recourante 1 avait retrouvé son futur ex-beau-frère après un abus de médicaments et avait dû appeler une ambulance, provoquant d'intenses angoisses chez elle qu'une possible nouvelle tentative de suicide réussisse. Il ressort du rapport du 5 avril 2018 que la recourante 1 sollicitait un rendez-vous après une absence de plusieurs mois. Elle a rapporté traverser une période difficile avec son futur ex-époux, notamment ponctuée de beaucoup de violence, d'altercations et d'interventions de police. Une séparation qui a été alors qualifiée de « définitive » serait intervenue l'avant-veille. Le 19 avril 2018, elle a demandé son admission volontaire au CPNVD. A ce moment, l'intéressée a relaté fuir le domicile conjugal pour éviter les violences de son futur ex-époux, être hébergée provisoirement chez des amis et présenter des idées suicidaires scénarisées. Le lendemain, la recourante 1 a exposé être partie en octobre 2017 au Brésil et avoir décidé de stopper son suivi psychologique. L'intéressée a expliqué entretenir une relation avec un ami et louer une chambre avec ce dernier. Elle a été décrite comme étant désespérée avec des idées suicidaires et en colère contre la mère de son ami (cf. act. 25 TAF, pièce 26). Un second rapport médical du CPNVD du 14 juin 2018 a été rédigé suite à l'admission volontaire de la recourante 1 du 19 au 20 avril 2018. Il y est décrit une aggravation de son état psychique, avec des troubles du sommeil soulagés par médicament, une perte d'appétit engendrant une perte de poids de six kilos depuis début avril 2018. Audit moment, elle aurait dû quitter le domicile conjugal pour fuir la violence de son futur ex-époux, aurait été en couple avec un compatriote et enceinte. Depuis toujours, elle a allégué avoir eu une relation conflictuelle avec son futur ex-époux avec, depuis une année, des violences conjugales, tant physiques que psychologiques et une dégradation progressive du lien conjugal. L'intéressée a également fait état d'irritabilité, d'envies parfois hétéro-agressives, des angoisses et des idées suicidaires scénarisées. La recourante 1 a également expliqué avoir arrêté de son propre gré une surconsommation d'alcool, laquelle avait duré une année jusqu'à fin février 2018. Auparavant, elle a raconté avoir eu de mauvaises expériences durant ses premières années en Suisse, particulièrement sur le plan professionnel (cf. act. 7 TAF, pièce 26 ; voir consid. 5.3.2 supra).</w:t>
      </w:r>
    </w:p>
    <w:p>
      <w:r>
        <w:rPr>
          <w:b/>
        </w:rPr>
        <w:t>E. 5.5.2</w:t>
      </w:r>
    </w:p>
    <w:p>
      <w:r>
        <w:t>La police du Nord vaudois, sur délégation du SPOP, a le 25 juillet 2019 auditionné le futur ex-époux de la recourante 1. Ce dernier a rapporté que le couple s'était séparé une première fois début 2018 suite à une dispute verbale où il l'aurait accusée de le tromper et lui aurait demandé de sortir de la maison. L'intéressée serait revenue vivre dans une chambre faute d'avoir un endroit où aller. Quelques mois plus tard, elle serait tombée enceinte d'un compatriote brésilien, avec lequel elle serait partie vivre. La recourante 1 aurait frappé son futur ex-époux plusieurs fois. Selon ses dires, « (...) peut-être que moi je l'ai parfois bousculée justement quand elle m'agressait, mais jamais je ne l'ai frappée » et il l'a accusée de beaucoup mentir (cf. dossier SEM, pièce 17).</w:t>
      </w:r>
    </w:p>
    <w:p>
      <w:r>
        <w:rPr>
          <w:b/>
        </w:rPr>
        <w:t>E. 5.5.3</w:t>
      </w:r>
    </w:p>
    <w:p>
      <w:r>
        <w:t>Quant à l'attestation d'un cabinet de psychologues du 12 juillet 2019, elle précise que la recourante 1 a bénéficié d'un suivi hebdomadaire et a cherché de l'aide suite à des événements de vie difficiles. Cette dernière a présenté comme objectifs de retrouver un équilibre dans sa vie personnelle et professionnelle, de créer les moyens de se stabiliser et d'être autonome dans tous les domaines de sa vie (cf. dossier SEM, pièce 17). Lors de son audition du 13 juillet 2019 par la Police de l'Ouest lausannois, sur délégation du SPOP, la recourante 1 a indiqué que son futur ex-époux l'avait giflée à une seule reprise. Cependant, aucune plainte pénale n'aurait jamais été déposée. Aussi, l'intéressée a avancé ne pas avoir subi d'atteinte à part à son intégrité psychique (cf. dossier SEM, pièce 29). Le rapport du Centre d'accueil MalleyPrairie du 30 septembre 2020 met en avant des violences verbales et psychologiques, économiques et physiques. La recourante 1 a reproché à son ex-époux des cris fréquents, des accusations d'infidélité, des objets cassés lors de disputes, ainsi qu'un manquement tant à son devoir de soutien, qu'à celui de protection. Concernant les violences économiques, le montant perçu par ce dernier serait insuffisant pour faire face à ses dépenses. Il aurait dépensé son argent dans le jeu et les drogues. Finalement, pour ce qui est des violences physiques, son ex-époux lui aurait, en 2017, notamment donné une claque telle que sa tête aurait tapé contre le réfrigérateur et enfoncé la porte. Aussi, son ex-époux aurait eu pour habitude de pousser son épouse ou de la saisir très fort (cf. dossier SEM, pièce 17). Lors de l'exercice de son droit d'être entendue du 6 septembre 2021, l'intéressée a indiqué que les violences physiques étaient récurrentes depuis le début de la relation (cf. dossier SEM, pièce 145).</w:t>
      </w:r>
    </w:p>
    <w:p>
      <w:r>
        <w:rPr>
          <w:b/>
        </w:rPr>
        <w:t>E. 5.5.4</w:t>
      </w:r>
    </w:p>
    <w:p>
      <w:r>
        <w:t>Force est de relever que la recourante 1 a tenu des versions contradictoires entre 2017 et 2021. En effet, les déclarations concernant une dispute en 2017, durant laquelle elle aurait reçu une claque telle de son ex-époux que sa tête aurait tapé contre le réfrigérateur et enfoncé la porte, ont été effectuées plus de trois ans après les faits en septembre 2020 et postérieurement à son divorce. Au contraire, à aucun moment en 2017, l'intéressée n'a avancé avoir été victime de violence physique. Au cours de ladite année, elle a décrit une unique dispute verbale sans violence physique avec son futur ex-époux, laquelle se serait déroulée le 28 juillet 2017. Les déclarations de 2018 et 2021 entrent également en contradiction avec celles de 2019 concernant ladite violence physique et sa récurrence. Alors qu'en 2019, l'intéressée a avancé que son ex-époux l'avait giflée à une seule reprise et ne pas avoir subi de violences psychiques, la violence physique et psychique a été décrite comme récurrente depuis une année en 2018 et depuis le début de la relation en 2021. Dès qu'il s'agit pour les autorités migratoires d'examiner les conditions de séjour en Suisse d'un étranger, l'expérience montre en effet que, lorsque le justiciable présente plusieurs versions successives qui se contredisent, il y a en principe lieu d'accorder plus de crédit aux déclarations initiales et spontanées de l'intéressé (cf. ATF 121 V 45 consid. 2a, 115 V 143 consid. 8c; arrêts du TAF F-4264/2017 du 28 juin 2019 consid. 7.1.2, F-6860/2016 du 6 juillet 2018 consid. 5.1.2, et la jurisprudence citée). Il ressort de ce qui précède que le Tribunal tient pour vraisemblable que l'ex-couple ait eu une relation tumultueuse avec, à tout au moins, une importante dispute verbale le 28 juillet 2017 en partie causée notamment par l'évocation de sa future ex-belle famille. Une seconde dispute s'est déroulée en avril 2018 au moment d'une séparation. La recourante 1 a reconnu que ladite dispute avait été éveillée par des soupçons d'infidélités de son ex-époux. Lesdits soupçons étaient fondés puisque neuf mois plus tard est née la recourante 2. D'ailleurs, la recourante 1 a elle-même reconnu être partie vivre avec le père de cette dernière suite à cette rupture. Dans ce contexte, la thèse soutenue par l'intéressée, à savoir qu'elle devait fuir le domicile conjugal pour éviter les violences de son futur ex-époux, n'apparaît que peu vraisemblable. Au cours de leur vie conjugale, de la violence physique ne peut toutefois pas être exclue. En effet l'ex-époux a lui-même reconnu l'avoir « bousculée » et la recourante 1 a pu se révéler être violente, comme l'atteste sa condamnation pour lésions corporelles simples et menaces vis-à-vis d'un tiers (voir consid. D supra). Cependant, la violence conjugale systématique alléguée par la recourante 1 durant l'union conjugale se fonde uniquement sur ses dires. Il sied de relever que l'intéressée n'a pas produit de rapports de police alors que de nombreuses interventions ont été mentionnées et aucune plainte pénale n'a été déposée. Quant à l'attestation relative au suivi psychologique, celle-ci motive ledit suivi par des événements de vie difficiles, sans spécifier la vie de couple. Malgré tout, la détresse psychologique de la recourante 1 est avérée comme en témoignent les deux admissions volontaires au CPNVD. Les causes desdites admissions volontaires semblent cela dit être multiples, à savoir une relation très difficile avec sa future ex-belle-famille, plus particulièrement avec son ex-beau-frère et son ex-beau-père, des problèmes financiers, des carences affectives dans son enfance, un sentiment d'isolement, ainsi que ses expériences professionnelles en Suisse. Or, la relation de couple représente une raison d'hospitalisation sans qu'il ne soit possible d'affirmer qu'elle représente le motif prépondérant. Dans ces circonstances, il n'est pas possible de retenir que son ex-époux l'aurait systématiquement rabaissée, dénigrée et violentée de sorte qu'une poursuite de leur vie conjugale aurait mis en péril la santé psychique et physique de la recourante 1.</w:t>
      </w:r>
    </w:p>
    <w:p>
      <w:r>
        <w:rPr>
          <w:b/>
        </w:rPr>
        <w:t>E. 5.6</w:t>
      </w:r>
    </w:p>
    <w:p>
      <w:r>
        <w:t>Au vu de l'ensemble des éléments spécifiques qui précèdent, force est de conclure que les actes de violence conjugale dont la recourante 1 a allégué avoir été victime ne sont pas assez étayés, ni suffisants pour justifier la prolongation de son autorisation de séjour au titre de l'art. 50 al. 1 let. b et al. 2 LEI (cf., à cet égard, arrêt du TF 2C_343/2014 du 13 janvier 2015 consid. 3.2).</w:t>
      </w:r>
    </w:p>
    <w:p>
      <w:r>
        <w:rPr>
          <w:b/>
        </w:rPr>
        <w:t>E. 5.7</w:t>
      </w:r>
    </w:p>
    <w:p>
      <w:r>
        <w:t>En conclusion, l'examen du cas en vertu des critères énumérés à l'art. 50 al.1 let. b et al. 2 LEI - examinés de manière individuelle et dans leur ensemble - ne permet pas de conclure à l'existence de raisons personnelles majeures imposant la poursuite du séjour des intéressées en Suisse. C'est donc de manière conforme au droit que l'autorité inférieure a refusé d'approuver la prolongation du titre de séjour des recourantes sur la base de l'art. 50 al. 1 let. b LEI.</w:t>
      </w:r>
    </w:p>
    <w:p>
      <w:r>
        <w:rPr>
          <w:b/>
        </w:rPr>
        <w:t>E. 6</w:t>
      </w:r>
    </w:p>
    <w:p>
      <w:r>
        <w:t>Il n'y a pas lieu d'examiner séparément la situation des recourantes sous l'angle de l'art. 30 al. 1 let. b LEI, puisque les raisons personnelles majeures ont été écartées sur la base de l'art. 50 al. 1 let. b LEI et que rien au dossier ne fait apparaître que des éléments spécifiques allant au-delà de la protection conférée par l'art. 50 LEI doivent être pris en compte en l'espèce (cf. notamment arrêt du TAF F-6526/2016 du 18 juin 2018 consid. 8.5 ; voir aussi, dans ce sens, ATF 137 II 345 consid. 3.2.1 ; arrêt du TF 2C_1062/2013 du 28 mars 2014 consid. 3.2.1).</w:t>
      </w:r>
    </w:p>
    <w:p>
      <w:r>
        <w:rPr>
          <w:b/>
        </w:rPr>
        <w:t>E. 7.1</w:t>
      </w:r>
    </w:p>
    <w:p>
      <w:r>
        <w:t>Le Tribunal fédéral a retenu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pour autant qu'elle ait séjourné légalement en Suisse durant cette période (arrêt du TF 2C_18/2019 du 9 janvier 2019 consid. 2.3). Sous l'angle de la protection de la vie familiale, une relation étroite et effective au sens de l'art. 8 CEDH est en principe présumée s'agissant de rapports entretenus au sens étroit (famille dite « nucléaire » ou « Kernfamilie »), soit celle qui existe entre époux ainsi qu'entre parents et enfants mineurs vivant en ménage commun (cf. ATF 140 I 77 consid. 5.2; 137 I 113 consid. 6.1).</w:t>
      </w:r>
    </w:p>
    <w:p>
      <w:r>
        <w:rPr>
          <w:b/>
        </w:rPr>
        <w:t>E. 7.2</w:t>
      </w:r>
    </w:p>
    <w:p>
      <w:r>
        <w:t>En l'occurrence, le Tribunal constate que la recourante 1 a séjourné en Suisse entre 2010 et 2014, puis de 2016 à présent, soit depuis plus de neuf ans. La recourante 2 vit en Suisse depuis sa naissance en 2018. Toutes deux y résident depuis une durée inférieure aux dix années requises(cf. ATF 144 I 266 consid. 3.8 et 3.9 ; arrêt du TF 2C_18/2019 du 9 janvier 2019 consid. 2.3). La prise en considération de cette durée doit également être relativisée. En effet, depuis la décision du SPOP du 20 juillet 2021 de refuser la prolongation du titre de séjour des intéressées, leur séjour en Suisse ne peut plus être comptabilisé (ou seulement dans une mesure très restreinte) puisqu'il a été accompli sans autorisation, à la faveur d'une simple tolérance cantonale ou de l'effet suspensif attaché au présent recours (cf. ATF 137 II 1 consid. 4.3, ATAF 2007/45 consid. 6.3 et arrêt du TF 2C_641/2017 du 31 août 2017 consid. 3.3). En outre, la recourante 1 entretient une relation amoureuse depuis décembre 2020 avec un ressortissant italien titulaire d'une autorisation d'établissement sans vivre en ménage commun. Vu l'absence de mariage et de ménage commun, la relation de couple précitée n'est pas protégée par l'art. 8 CEDH. En outre, l'ami de la recourante 1 a allégué entretenir un lien très fort avec la recourante 2, laquelle le considérerait comme son père (cf. act. 3 TAF, pièce 15). Même si l'ami de la recourante 1 estime la recourante 2 comme sa fille, ce dernier ne peut pas être considéré comme un membre de la famille (voir consid. 7.1 supra). Les recourantes ne peuvent donc se prévaloir de la protection de sa vie privée et familiale et de la jurisprudence précitée, respectivement leurs intérêts privés ne prévalent pas sur les intérêts publics à leur éloignement de Suisse.</w:t>
      </w:r>
    </w:p>
    <w:p>
      <w:r>
        <w:rPr>
          <w:b/>
        </w:rPr>
        <w:t>E. 8</w:t>
      </w:r>
    </w:p>
    <w:p>
      <w:r>
        <w:t>Dans la mesure où les recourantes n'obtiennent pas la prolongation de leur autorisation de séjour, c'est à bon droit que l'autorité intimée a prononcé leur renvoi de Suisse, conformément à l'art. 64 al. 1 let. c LEI. Les recourantes n'ont pas démontré l'existence d'obstacles à leur retour au Brésil et le dossier ne fait pas non plus apparaître que l'exécution du renvoi serait impossible, illicite ou inexigible au sens de l'art. 83 al. 2 à 4 LEI(voir consid. 5.3.2 supra). Ainsi, c'est à juste titre que l'instance inférieure a ordonné l'exécution de cette mesure s'agissant des recourantes.</w:t>
      </w:r>
    </w:p>
    <w:p>
      <w:r>
        <w:rPr>
          <w:b/>
        </w:rPr>
        <w:t>E. 9</w:t>
      </w:r>
    </w:p>
    <w:p>
      <w:r>
        <w:t>Il ressort de ce qui précède que par sa décision du 4 mars 2022, et en tant qu'elle concerne les conditions de séjour des recourantes, l'autorité intimée n'a ni violé le droit fédéral, ni constaté des faits pertinents de manière inexacte ou incomplète. En outre, la décision attaquée n'est pas inopportune (cf. art. 49 PA). En conséquence, le recours est rejeté.</w:t>
      </w:r>
    </w:p>
    <w:p>
      <w:r>
        <w:rPr>
          <w:b/>
        </w:rPr>
        <w:t>E. 10.1</w:t>
      </w:r>
    </w:p>
    <w:p>
      <w:r>
        <w:t>Vu l'issue de la cause, il y aurait lieu de mettre les frais de procédure à la charge des recourantes, débitrices solidaires (art. 63 al. 1 PA et art. 1 à 3 FITAF [RS 173.320.2] et art. 2, 3 let. a et 6a du règlement du 21 février 2008 concernant les frais, dépens et indemnités fixés par le Tribunal administratif fédéral [FITAF, RS 173.320.2]). Toutefois, l'assistance judiciaire totale leur ayant été octroyée par décision incidente du 14 avril 2022, il n'est pas perçu de frais de procédure (art. 65 al. 1 et 2 PA ; cf. act. 4 TAF).</w:t>
      </w:r>
    </w:p>
    <w:p>
      <w:r>
        <w:rPr>
          <w:b/>
        </w:rPr>
        <w:t>E. 10.2</w:t>
      </w:r>
    </w:p>
    <w:p>
      <w:r>
        <w:t>Par ailleurs, Maître Samuel Pahud ayant été nommé comme mandataire d'office, une indemnité à titre d'honoraires et de débours doit lui être allouée pour l'activité indispensable déployée dans la présente procédure (art. 8 à 11, applicables par analogie conformément à l'art. 12 FITAF). En l'absence de décompte de prestations, le Tribunal fixe l'indemnité sur la base du dossier (art. 14 al. 2 FITAF). En outre, le TAF relève que, même si le montant maximum octroyé dans le canton de Vaud dans le cadre de l'assistance judiciaire est de 180 francs par heure (art. 2 al. 1 du règlement sur l'assistance judiciaire en matière civile du 7 décembre 2010 [RAJ/VD ; RSV 211.02.3], applicable par renvoi de l'art. 18 al. 5 de la loi sur la procédure administrative du 28 octobre 2008 [LPA-VD ; RSV 173.36]), l'art. 10 FITAF prévoit que le tarif horaire des avocats est de 200 francs au moins et de 400 francs au plus. En l'espèce, le Tribunal estime justifié de fixer le tarif horaire à 200 francs. Au vu de l'ensemble des circonstances du cas, de l'importance de l'affaire, du degré de difficulté de cette dernière et de l'ampleur du travail accompli par le mandataire, qui représentaient déjà les recourantes devant les autorités cantonales, ladite indemnité, mise à la charge du Tribunal, est arrêtée à 1'500 francs (y compris supplément TVA selon l'art. 9 al. 1 let. c FITAF). Cela étant, les intéressées sont rendues attentives à l'obligation de rembourser ce montant si elles reviennent à meilleure fortune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