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F-1179/2023 vom 8. Februar 2023</w:t>
      </w:r>
    </w:p>
    <w:p>
      <w:r>
        <w:t>Bundesverwaltungsgericht, 2023-02-08, DE</w:t>
      </w:r>
    </w:p>
    <w:p>
      <w:r>
        <w:rPr>
          <w:b/>
        </w:rPr>
        <w:t xml:space="preserve">Quelle: </w:t>
      </w:r>
      <w:r>
        <w:t>https://mcp.opencaselaw.ch/entscheid/bvger_F-1179_2023_d20230208</w:t>
      </w:r>
    </w:p>
    <w:p>
      <w:r>
        <w:t>FR: TAF F-1179/2023 du 8 février 2023</w:t>
      </w:r>
    </w:p>
    <w:p>
      <w:r>
        <w:t>IT: TAF F-1179/2023 del 8 febbraio 2023</w:t>
      </w:r>
    </w:p>
    <w:p>
      <w:pPr>
        <w:pStyle w:val="Heading2"/>
      </w:pPr>
      <w:r>
        <w:t>Regeste</w:t>
      </w:r>
    </w:p>
    <w:p>
      <w:r>
        <w:t>Schengen-Visum | Schengen-Visum; Verfügung des SEM vom 8. Februar 2023</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den ange- fochtenen Entscheid besonders berührt. Obwohl der ursprünglich ange- strebte Besuchszeitraum inzwischen abgelaufen ist, kann auf ein fortbe-</w:t>
      </w:r>
    </w:p>
    <w:p>
      <w:r>
        <w:t>F-1179/2023 Seite 4 stehendes Rechtsschutzinteresse geschlossen werden. Der Beschwerde- führer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2020 VII/4 E. 2.2).</w:t>
      </w:r>
    </w:p>
    <w:p>
      <w:r>
        <w:rPr>
          <w:b/>
        </w:rPr>
        <w:t>E. 3</w:t>
      </w:r>
    </w:p>
    <w:p>
      <w:r>
        <w:t>Dem angefochtenen Entscheid liegt das Gesuch einer indischen Staatsan- gehörigen um Erteilung eines Visums zu Besuchszwecken in der Schweiz zugrunde. Da sich die Gesuchstellerin nicht auf die EU/EFTA-Personen- freizügigkeitsabkommen berufen kann und die beabsichtigte Aufenthalts- dauer 90 Tage nicht überschreitet, fällt die vorliegende Streitsache in den persönlichen und sachlichen Anwendungsbereich der Schengen-Assoziie- 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2-5 AIG).</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w:t>
      </w:r>
    </w:p>
    <w:p>
      <w:r>
        <w:t>F-1179/2023 Seite 5 Einreise und Visum aufstellt und die Mitgliedstaaten verpflichtet, die Ein- reise bzw. das Visum zu verweigern, wenn die Voraussetzungen nicht er- füllt sind. Einen Anspruch auf Einreise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Visum wird verweigert, wenn begründete Zweifel an der Echtheit der vom Antragsteller vorgelegten Belege oder am Wahrheitsgehalt ihres Inhalts,</w:t>
      </w:r>
    </w:p>
    <w:p>
      <w:r>
        <w:t>F-1179/2023 Seite 6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5</w:t>
      </w:r>
    </w:p>
    <w:p>
      <w:r>
        <w:t>Aufgrund ihrer Staatsangehörigkeit unterliegt die Gesuchstellerin der Vi- sumspflicht. Bei der Prüfung der Einreisevoraussetzungen nach Art. 6 Abs. 1 SGK ist die Frage der gesicherten Wiederausreise zentral.</w:t>
      </w:r>
    </w:p>
    <w:p>
      <w:r>
        <w:rPr>
          <w:b/>
        </w:rPr>
        <w:t>E. 5.1</w:t>
      </w:r>
    </w:p>
    <w:p>
      <w:r>
        <w:t>Die Vorinstanz zweifelt die anstandslose Wiederausreise der Gesuch- stellerin an und begründet dies zum einen mit den wirtschaftlichen Verhält- nissen in ihrer Heimatregion, zum anderen damit, dass ihr dort keine über das übliche Mass hinausgehenden Verpflichtungen oblägen. Die Gesuch- stellerin sei jung, ledig, habe keine Kinder und besuche zur Zeit noch die Schule beziehungsweise sei Studentin. Zudem sei nicht belegt worden, dass die Gesuchstellerin die Tochter des Beschwerdeführers sei. Er lebe seit (…) in der Schweiz; sie sei (…) in Indien geboren worden. Sie habe ihn bislang nie in der Schweiz besucht. Demnach werde der Aufenthalts- zweck nicht als nachgewiesen betrachtet. Es könne nicht ausgeschlossen werden, dass eine Gefälligkeitseinladung und/oder ein Versuch, die Zulas- sungsvoraussetzungen des AIG umgehen zu wollen, vorliege. Selbst wenn ein Vater-Tochter-Verhältnis festgestellt werden könnte, wäre davon aus- zugehen, dass die Wiederausreise nicht gesichert sei.</w:t>
      </w:r>
    </w:p>
    <w:p>
      <w:r>
        <w:rPr>
          <w:b/>
        </w:rPr>
        <w:t>E. 5.2</w:t>
      </w:r>
    </w:p>
    <w:p>
      <w:r>
        <w:t>Demgegenüber macht der Beschwerdeführer geltend, seine Tochter sei in der Schweiz seit ihrer Geburt als seine Tochter gemeldet gewesen; er habe für sie auch Kinderzulagen erhalten. Auch in Indien sei er als ihr Vater überall registriert. Er verweist auf die dahingehend eingereichten Be- lege. Zweck des Besuchs sei einzig, seiner Tochter zu zeigen, wo und wie er und seine Ehefrau lebten, und ihr etwas von der Schweiz zu zeigen. Es gehe um einen Ferienaufenthalt. Seine Tochter wolle ihr Studium in Indien fortsetzen. Tatsächlich hätte er sie gerne früher eingeladen, habe dazu</w:t>
      </w:r>
    </w:p>
    <w:p>
      <w:r>
        <w:t>F-1179/2023 Seite 7 aber das Einverständnis ihrer Mutter benötigt. Dieses sei verweigert wor- den aus Besorgnis, das Kind alleine so weit reisen zu lassen. Unter den damaligen Umständen sei es im Übrigen unwahrscheinlich gewesen, dass zusätzlich ein Visum für eine Begleitperson für seine Tochter erteilt worden wäre. Er habe sie jeweils in seinen Sommerferien in Indien sehen können. Zum Glück sei es jetzt einfach, telefonisch in Verbindung zu sein.</w:t>
      </w:r>
    </w:p>
    <w:p>
      <w:r>
        <w:rPr>
          <w:b/>
        </w:rPr>
        <w:t>E. 6</w:t>
      </w:r>
    </w:p>
    <w:p>
      <w:r>
        <w:t>Streitig und zu prüfen ist vorliegend, inwieweit die Gesuchstellerin Gewähr für eine fristgerechte Wiederausreise aus dem Schengen-Raum bietet.</w:t>
      </w:r>
    </w:p>
    <w:p>
      <w:r>
        <w:rPr>
          <w:b/>
        </w:rPr>
        <w:t>E. 6.1.1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Einzelfalls zu würdigen. Die Beweisführungslast obliegt dabei der drittstaatsangehöri- 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 ge Praxis, da die persönliche Interessenlage in solchen Fällen erfahrungs- gemäss häufig nicht mit dem Ziel und Zweck einer zeitlich befristeten Ein- reisebewilligung im Einklang steht (BVGE 2014/1 E. 6.1).</w:t>
      </w:r>
    </w:p>
    <w:p>
      <w:r>
        <w:rPr>
          <w:b/>
        </w:rPr>
        <w:t>E. 6.1.2</w:t>
      </w:r>
    </w:p>
    <w:p>
      <w:r>
        <w:t>Die Gesuchstellerin lebt in der Stadt D._______ in der Region E._______, welche (…) an Pakistan grenzt. Die politischen und ethnisch- religiösen Spannungen im Grenzgebiet zu Pakistan sind hoch (&lt; https://www.eda.admin.ch &gt; Reisehinweise und Vertretungen &gt; Reise- hinweise für Indien &gt; spezifische regionale Risiken, Grenzgebiet zu Pakis- tan, abgerufen am 6.12.2023). Ausserdem ist das Leben in Indien nach wie vor geprägt von krasser Armut und extremer Ungleichheit der Chancen. Auf dem aktuellen Index der menschlichen Entwicklung der Vereinten Na- tionen belegt Indien denn auch lediglich Platz 132 von 191 gelisteten Staa- ten (vgl. dazu ausführlich Urteile des BVGer F-4547/2022 vom 26. Juni 2023 E. 6; F-5322/2022 vom 9. Juni 2023 E. 6.2; je m.w.H.). Vor diesem Hintergrund ist nicht zu beanstanden, wenn die Vorinstanz das Risiko einer nicht fristgerechten Wiederausreise von Besucherinnen und Besuchern</w:t>
      </w:r>
    </w:p>
    <w:p>
      <w:r>
        <w:t>F-1179/2023 Seite 8 aus Indien und insbesondere aus der Heimatregion der Gesuchstellerin all- gemein als hoch einschätzt.</w:t>
      </w:r>
    </w:p>
    <w:p>
      <w:r>
        <w:rPr>
          <w:b/>
        </w:rPr>
        <w:t>E. 6.2.1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erleichtern kann. Angesichts der restriktiven Zulas- sungsregelung führt dies nicht selten zur Umgehung von ausländerrechtli- chen Bestimmungen, indem die Gesuchstellenden – einmal eingereist – versuchen, den Aufenthalt auf eine andere rechtliche Basis abzustützen (BVGE 2014/1 E. 6.2.2).</w:t>
      </w:r>
    </w:p>
    <w:p>
      <w:r>
        <w:rPr>
          <w:b/>
        </w:rPr>
        <w:t>E. 6.2.2</w:t>
      </w:r>
    </w:p>
    <w:p>
      <w:r>
        <w:t>Bei der Gesuchstellerin handelt es sich um die mittlerweile (…)-jäh- rige Tochter des Beschwerdeführers (vgl. E. 6.2.3 hiernach). Sie studiert an der (…)-Universität (…) in D._______ (…) (Master of Science, 1. – 3. Semester). Angaben zu ihrem familiären und sozialen Beziehungsnetz in Indien finden sich keine im Dossier. Dass ihr dort besondere gesellschaft- liche oder familiäre Verpflichtungen obliegen würden, wird nicht geltend ge- macht und ist auch nicht ersichtlich. Die Gesuchstellerin verfügt jedoch in der Schweiz durch den hier lebenden Vater und dessen Ehefrau über ein familiäres Beziehungsnetz, was das Emigrationsrisiko erhöht (vgl. E. 6.2.1 am Ende).</w:t>
      </w:r>
    </w:p>
    <w:p>
      <w:r>
        <w:rPr>
          <w:b/>
        </w:rPr>
        <w:t>E. 6.2.3</w:t>
      </w:r>
    </w:p>
    <w:p>
      <w:r>
        <w:t>Soweit die Vorinstanz hingegen Zweifel am Verwandtschaftsverhält- nis der Gesuchstellerin und des Beschwerdeführers bekundet, wird durch das Bundesverwaltungsgericht nicht in Frage gestellt, dass die Gesuch- stellerin die Tochter des Beschwerdeführers ist. Dies geht aus den umfang- reichen eingereichten Belegen sowie aus dem Sachverhalt im Verfahren</w:t>
      </w:r>
    </w:p>
    <w:p>
      <w:r>
        <w:t>F-1179/2023 Seite 9 zur erleichterten Einbürgerung des Beschwerdeführers hervor (vgl. Urteil des BVGer F-7013/2017 vom 6. Februar 2020, Bst. B. erster Abschnitt). Es kann gemäss den eingereichten Unterlagen (vgl. Beschwerdeakten [B-act.]</w:t>
      </w:r>
    </w:p>
    <w:p>
      <w:r>
        <w:rPr>
          <w:b/>
        </w:rPr>
        <w:t>E. 6.2.4</w:t>
      </w:r>
    </w:p>
    <w:p>
      <w:r>
        <w:t>Über die wirtschaftlichen Verhältnisse der Gesuchstellerin ist be- kannt, dass ein auf sie lautendes Bankkonto per 16. November 2022 einen Saldo von INR 864'477.– (umgerechnet im damaligen Zeitpunkt ca. Fr. 10'000.–) auswies. Es bleibt unklar, ob es sich um selbsterwirtschafte- tes Vermögen oder um Unterstützungsbeiträge des Beschwerdeführers handelt. Eine sichere wirtschaftliche Existenz in Indien, welche sie von einer Emigration abhalten könnte, wird damit nicht belegt.</w:t>
      </w:r>
    </w:p>
    <w:p>
      <w:r>
        <w:rPr>
          <w:b/>
        </w:rPr>
        <w:t>E. 6.2.5</w:t>
      </w:r>
    </w:p>
    <w:p>
      <w:r>
        <w:t>Somit können der Gesuchstellerin keine familiären und beruflichen Verpflichtungen oder Abhängigkeiten attestiert werden, die hinreichende Gewähr für eine fristgerechte Wiederausreise bieten könnten. Das Risiko, dass sie – einmal in die Schweiz eingereist – vom zuvor deklarierten Auf- enthaltszweck abweichen und versuchen könnte, diesen auf eine neue Ba- sis zu stellen, ist als relativ hoch einzuschätzen. Die Zusicherung einer fristgerechten Ausreise durch den Beschwerdeführer ändert daran nichts. Gastgeber und Garanten können mit rechtlich verbindlicher Wirkung zwar für gewisse finanzielle Risiken im Zusammenhang mit dem Besuchsauf- enthalt, nicht aber für ein bestimmtes Tun oder Unterlassen ihrer Gäste einstehen (vgl. in diesem Zusammenhang auch BVGE 2009/27 E. 9).</w:t>
      </w:r>
    </w:p>
    <w:p>
      <w:r>
        <w:rPr>
          <w:b/>
        </w:rPr>
        <w:t>E. 6.3</w:t>
      </w:r>
    </w:p>
    <w:p>
      <w:r>
        <w:t>Unter Berücksichtigung der allgemeinen Situation im Herkunftsland und vor dem dargelegten persönlichen Hintergrund durfte die Vorinstanz davon ausgehen, dass keine hinreichende Gewähr für eine fristgerechte und anstandslose Wiederausreise der Gesuchstellerin nach einem Be- suchsaufenthalt besteht; dies gilt, obwohl der infrage stehende Aufenthalts-</w:t>
      </w:r>
    </w:p>
    <w:p>
      <w:r>
        <w:t>F-1179/2023 Seite 10 zweck – ein rund einmonatiger Familienbesuch bei ihrem in der Schweiz lebenden Vater – zeitlich und inhaltlich klar umrissen ist.</w:t>
      </w:r>
    </w:p>
    <w:p>
      <w:r>
        <w:rPr>
          <w:b/>
        </w:rPr>
        <w:t>E. 6.4</w:t>
      </w:r>
    </w:p>
    <w:p>
      <w:r>
        <w:t>Gründe humanitärer oder anderer Art (vgl. Art. 5 Abs. 3 AIG; 3 Abs. 4 VEV, Art. 25 Abs. 1 Bst. a VK sowie Art. 6 Abs. 5 Bst. c SGK) welche die Erteilung eines Visums mit räumlich beschränkter Gültigkeit rechtfertigen würden, wurden nicht geltend gemacht und sind auch nicht ersichtlich. So- mit ist im Ergebnis nicht zu beanstanden, dass die Vorinstanz die Ausstel- lung eines Visums verweigert hat.</w:t>
      </w:r>
    </w:p>
    <w:p>
      <w:r>
        <w:rPr>
          <w:b/>
        </w:rPr>
        <w:t>E. 7</w:t>
      </w:r>
    </w:p>
    <w:p>
      <w:r>
        <w:t>Zusammenfassend erweist sich der angefochtene Einspracheentscheid im Lichte von Art. 49 VwVG als rechtmässig und die Beschwerde ist demzu- folge abzuweisen.</w:t>
      </w:r>
    </w:p>
    <w:p>
      <w:r>
        <w:rPr>
          <w:b/>
        </w:rPr>
        <w:t>E. 8</w:t>
      </w:r>
    </w:p>
    <w:p>
      <w:r>
        <w:t>Bei diesem Ausgang des Verfahrens sind die Kosten dem Beschwerdefüh- rer aufzuerlegen (vgl. Art. 63 Abs. 1 VwVG i.V.m. Art. 1 ff. des Reglements vom 21. Februar 2008 über die Kosten und Entschädigungen vor dem Bun- desverwaltungsgericht [VGKE, SR 173.320.2]).</w:t>
      </w:r>
    </w:p>
    <w:p>
      <w:r>
        <w:t>(Dispositiv: siehe nächste Seite)</w:t>
      </w:r>
    </w:p>
    <w:p>
      <w:r>
        <w:t>F-1179/2023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