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F-1176/2024 vom 2. April 2024</w:t>
      </w:r>
    </w:p>
    <w:p>
      <w:r>
        <w:t>Bundesverwaltungsgericht, 2024-04-02, FR</w:t>
      </w:r>
    </w:p>
    <w:p>
      <w:r>
        <w:rPr>
          <w:b/>
        </w:rPr>
        <w:t xml:space="preserve">Quelle: </w:t>
      </w:r>
      <w:r>
        <w:t>https://mcp.opencaselaw.ch/entscheid/bvger_F-1176_2024</w:t>
      </w:r>
    </w:p>
    <w:p>
      <w:r>
        <w:t>FR: TAF F-1176/2024 du 2 avril 2024</w:t>
      </w:r>
    </w:p>
    <w:p>
      <w:r>
        <w:t>IT: TAF F-1176/2024 del 2 aprile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hôtes en Suisse,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la visite des requérants soient échues (cf. art. 48 al. 1 PA ; cf., dans ce sens, arrêt du TAF F-3804/2022 du 19 juin 2023 consid. 1.3). Présenté dans la forme et les délais prescrits par la loi, le recours est recevable (cf. art. 22a al. 1 let. b, 50 al. 1 et 52 al. 1 PA).</w:t>
      </w:r>
    </w:p>
    <w:p>
      <w:r>
        <w:rPr>
          <w:b/>
        </w:rPr>
        <w:t>E. 1.4</w:t>
      </w:r>
    </w:p>
    <w:p>
      <w:r>
        <w:t>Selon l’art. 33a al. 2, 1ère phr., PA, dans la procédure de recours, la langue est, en principe, celle de la décision attaquée. En l’espèce, dès lors que la décision litigieuse a été rendue en français, il convient d’adopter cette langue dans le cadre de la présente procédure.</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w:t>
      </w:r>
    </w:p>
    <w:p>
      <w:r>
        <w:t>F-1176/2024 Page 4</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w:t>
      </w:r>
    </w:p>
    <w:p>
      <w:r>
        <w:t>F-1176/2024 Page 5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3.3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3.4</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les ressortissants des Etats tiers selon qu’ils sont soumis ou non à l’obligation du visa (cf. art. 1). En tant que ressortissants syriens, les invités sont soumis à l’obligation du visa (cf. art. 8 al. 1 OEV, qui renvoie à l’annexe I ch. 1 du règlement susmentionné).</w:t>
      </w:r>
    </w:p>
    <w:p>
      <w:r>
        <w:t>F-1176/2024 Page 6</w:t>
      </w:r>
    </w:p>
    <w:p>
      <w:r>
        <w:rPr>
          <w:b/>
        </w:rPr>
        <w:t>E. 3.5</w:t>
      </w:r>
    </w:p>
    <w:p>
      <w:r>
        <w:t>En vertu de l’art. 8 CC, applicable par analogie, chaque partie doit, si la loi ne prescrit le contraire, prouver les faits qu’elle allègue pour en déduire son droit (cf. ATF 142 V 389 consid. 2.2, arrêt du TF 1C_148/3022 du 25 mai 2022 consid. 4.1).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148 II 465 consid. 8.3). Ainsi, l’art. 90 let. b LEI impose à l’étranger le devoir de fournir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les réf. citées ; ATAF 2020 VII/3 consid. 6.4.1).</w:t>
      </w:r>
    </w:p>
    <w:p>
      <w:r>
        <w:rPr>
          <w:b/>
        </w:rPr>
        <w:t>E. 4.1</w:t>
      </w:r>
    </w:p>
    <w:p>
      <w:r>
        <w:t>Dans sa décision du 30 janvier 2024, l’autorité inférieure a motivé son refus d’octroi de visas par une garantie insuffisante de la sortie de l’Espace Schengen des requérants. En effet, le SEM a relevé l’absence d’activité professionnelle et le fait qu’aucune pièce attestant de moyens financiers en Syrie n’avait été produite. De plus, les requérants n’avaient pas démontré d’attaches personnelles, familiales ou sociales dans leur pays d’origine. En outre, trois de leurs enfants se trouveraient en Suisse dont deux seraient au bénéfice d’une protection internationale, leurs deux autres enfants résidant en Allemagne et en Autriche. Enfin, les invités n’avaient jamais voyagé dans l’Espace Schengen, de sorte qu’il ne pouvait être exclu qu’ils ne prolongent leur séjour à l’échéance de leur visa dans l’espoir de trouver des meilleures conditions d’existence.</w:t>
      </w:r>
    </w:p>
    <w:p>
      <w:r>
        <w:rPr>
          <w:b/>
        </w:rPr>
        <w:t>E. 4.2</w:t>
      </w:r>
    </w:p>
    <w:p>
      <w:r>
        <w:t>A l’appui de leur recours, les recourants ont notamment relevé que les invités n’étaient plus en âge de débuter une nouvelle vie, qu’ils n’avaient pas de problèmes financiers ou de santé et que, bien qu’ils n’aient jamais voyagé dans l’Espace Schengen, les invités s’étaient déjà rendus en Turquie, au Liban, en Iran ainsi qu’en Jordanie. En outre, les hôtes ont reproché au SEM de ne pas avoir requis de preuve concernant leurs biens en Syrie. Les recourant ont suggéré de fournir un accord préalable des invités à un renvoi au Liban dans l’hypothèse où ils prolongeraient leur</w:t>
      </w:r>
    </w:p>
    <w:p>
      <w:r>
        <w:t>F-1176/2024 Page 7 séjour illégalement et ont également proposé une entrée individuelle, soit une personne à la fois, dans l’Espace Schengen.</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Tel est le cas si, au vu de l'ensemble des circonstances, il existe un haut degré de probabilité que l'invité retourne dans son pays à l'échéance du visa convoité (cf. ATAF 2014/1 consid. 4.4 ; arrêt du TAF F-3804/2022 du 19 juin 2023 consid. 5.1).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de son comportement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w:t>
      </w:r>
    </w:p>
    <w:p>
      <w:r>
        <w:t>F-1176/2024 Page 8</w:t>
      </w:r>
    </w:p>
    <w:p>
      <w:r>
        <w:rPr>
          <w:b/>
        </w:rPr>
        <w:t>E. 5.3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celle- ci. Lors de l’examen de demandes de visa émanant de personnes provenant de pays ou de régions connaissant une situation socio- économique ou politique difficile, il se justifie en effet d’appliquer une pratique restrictive, car les intérêts privés de telles personnes s’avèrent souvent incompatibles avec le but et l’esprit d’une autorisation d’entrée limitée dans le temps (cf. ATAF 2014/1 consid. 6.1 et 6.3 ; arrêt du TAF F-1240/2023 du 13 septembre 2023 consid. 6.3).</w:t>
      </w:r>
    </w:p>
    <w:p>
      <w:r>
        <w:rPr>
          <w:b/>
        </w:rPr>
        <w:t>E. 6</w:t>
      </w:r>
    </w:p>
    <w:p>
      <w:r>
        <w:t>En l’espèce, au vu de la situation sécuritaire et socio-économique prévalant en Syrie, on ne saurait, de prime abord, écarter les craintes émises par l’autorité intimée de voir les invités prolonger leur séjour en Suisse, ou dans l’Espace Schengen, au-delà de la date d’échéance des visas sollicités.</w:t>
      </w:r>
    </w:p>
    <w:p>
      <w:r>
        <w:rPr>
          <w:b/>
        </w:rPr>
        <w:t>E. 6.1</w:t>
      </w:r>
    </w:p>
    <w:p>
      <w:r>
        <w:t>Dans de vastes régions de la Syrie, la population civile subit une forte pression à l’émigration en raison des conflits armés notoires qui durent depuis les révoltes du « printemps arabe » en 2011 (cf. arrêts du TAF F-643/2022 du 17 mars 2022 consid. 4.2 ; F-2165/2020 du 12 avril 2021 consid. 5.3 ; F-3858/2018 du 12 décembre 2019 consid. 5.3.1 à 5.3.3). Nombreux sont ceux qui se sont réfugiés dans les Etats voisins et qui tentent de poursuivre leur route, notamment vers l'Europe (cf. Statistiques en matière d’asile 2022 du SEM du 15 février 2024, p. 17 s., www.sem.admin.ch, Publications &amp; services &gt; Statistiques &gt; Statistiques en matière d’asile &gt; Asile : statistiques 2023 &gt; Commentaire sur la statistique en matière d’asile 2023 &lt; stat-jahr-2023-kommentar (1). pdf &gt;, consulté en mars 2024). A cela s’ajoute que les demandes d’entrée en Suisse en provenance de Syrie dans le but déclaré d’un séjour de visite doivent au demeurant être traitées avec la plus grande retenue. Partant, on ne saurait reprocher à l’instance inférieure d’avoir estimé que le risque était élevé que les invités – une fois en Suisse – ne veuillent plus retourner dans leur pays d’origine (cf. ATAF 2014/1 consid. 6.1 ; arrêt du TAF F-5393/2023 du 16 janvier 2024 consid. 8.1).</w:t>
      </w:r>
    </w:p>
    <w:p>
      <w:r>
        <w:rPr>
          <w:b/>
        </w:rPr>
        <w:t>E. 6.2</w:t>
      </w:r>
    </w:p>
    <w:p>
      <w:r>
        <w:t>Cela étant, le Tribunal ne saurait se fonder sur la seule situation prévalant dans le pays de provenance de l’étranger pour conclure à l’absence de garantie quant à sa sortie ponctuelle de Suisse, mais doit également prendre en considération les particularités du cas d’espèce.</w:t>
      </w:r>
    </w:p>
    <w:p>
      <w:r>
        <w:t>F-1176/2024 Page 9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 arrêt du TAF F-1240/2023 du 13 septembre 2023 consid. 7.2).</w:t>
      </w:r>
    </w:p>
    <w:p>
      <w:r>
        <w:rPr>
          <w:b/>
        </w:rPr>
        <w:t>E. 6.3</w:t>
      </w:r>
    </w:p>
    <w:p>
      <w:r>
        <w:t>Il convient dès lors d’examiner si, en l’état, la situation personnelle, familiale, professionnelle et patrimoniale des invités plaide en faveur de leur sortie ponctuelle de Suisse, ou de l’Espace Schengen, au terme du séjour envisagé.</w:t>
      </w:r>
    </w:p>
    <w:p>
      <w:r>
        <w:rPr>
          <w:b/>
        </w:rPr>
        <w:t>E. 6.3.1</w:t>
      </w:r>
    </w:p>
    <w:p>
      <w:r>
        <w:t>Il ne ressort pas du dossier que les invités disposent de liens et d’obligations sociales ou familiales extraordinaires ou même d’importance en Syrie. Ainsi, ils n’ont pas démontré d’attaches particulières dans leur pays d’origine et il apparaît que tous leurs enfants vivent en Allemagne, en Autriche et en Suisse.</w:t>
      </w:r>
    </w:p>
    <w:p>
      <w:r>
        <w:rPr>
          <w:b/>
        </w:rPr>
        <w:t>E. 6.3.2</w:t>
      </w:r>
    </w:p>
    <w:p>
      <w:r>
        <w:t>Sur le plan des attaches financières et patrimoniales en Syrie, les requérants ont déclaré être sans emploi et, bien qu’ils l’aient alléguée, n’ont pas établi l’existence d’une entreprise familiale agricole. A cet égard, ils ont produit trois confirmations de contrat de vente concernant diverses parcelles. Cela étant, aucune information n’a été produite quant au mode d’exploitation de ces biens ou à l’entreprise familiale en elle-même (propriétaire, bénéficiaires, etc.). Ainsi, le Tribunal ne saurait conclure qu’une hypothétique exploitation d’un domaine agricole fournisse une garantie suffisante de retour dans le pays d’origine. Cela étant, le Tribunal constate qu’une réservation de billets d’avion a été fournie comme moyen de preuve et que les frais de séjour ont été garantis par les recourants. A ce propos, les hôtes ont établi devant notaire une garantie de 30'000.- francs pour une durée maximale de deux ans, assurant le départ des invités à l’échéance de leur visa. Ils ont, par ailleurs, réaffirmé leur prise en charge dans le mémoire de recours. Or, force est de constater que ces informations sont a priori en contradiction avec les déclarations faites sur la situation financière des requérants. D’une part, les recourants ont allégué que les intéressés ne</w:t>
      </w:r>
    </w:p>
    <w:p>
      <w:r>
        <w:t>F-1176/2024 Page 10 souffraient pas de problèmes financiers, qu’ils n’avaient pas été touchés par les sanctions économiques en Syrie, et d’autre part, ils ont soutenu leur prise en charge et fourni une garantie financière. A la lumière des différentes déclarations au dossier, lesquelles ne permettent pas d’établir la situation financière des invités de manière claire, le Tribunal ne peut arriver à la conclusion que les invités disposent de moyens financiers propres qui les rattacheraient durablement à leur pays d’origine. Enfin, en évoquant un éventuel renvoi forcé au Liban, au motif qu’ils pourraient s’y rendre sans visa, les recourants ne font que remettre en doute la volonté réelle des invités de quitter la Suisse à l’issue de leur visa.</w:t>
      </w:r>
    </w:p>
    <w:p>
      <w:r>
        <w:rPr>
          <w:b/>
        </w:rPr>
        <w:t>E. 6.4</w:t>
      </w:r>
    </w:p>
    <w:p>
      <w:r>
        <w:t>Concernant l’éventuelle 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(ATF 144 I 91 consid. 4.2).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(ATF 145 I 227 consid. 5.3), ce qui n’est pas le cas des requérants et de leur famille en Suisse. Le souhait des invités de venir rencontrer leur petite-fille, leur fils et leur belle-fille, en Suisse est certes compréhensible et légitime, mais ne constitue pas à lui seul un motif justifiant l’octroi d’un visa en leur faveur. Le refus d’octroi de l’autorisation d’entrée sollicitée, fondé sur des considérations liées à l’ordre public (risques migratoires), ne viole par conséquent pas cette disposition conventionnelle. Au demeurant, il convient de relever qu’un refus d’autorisation d’entrée dans l’Espace Schengen prononcé par les autorités suisses n’a pas, en l’occurrence, pour conséquence d’empêcher les intéressés et les recourants de se rencontrer ailleurs qu’en Suisse. Les intéressés n’ont, par ailleurs, pas démontré en quoi une rencontre dans un autre Etats tiers serait problématique. Par conséquent, en tenant compte des conseils donnés aux voyageurs par le Département fédéral des affaires étrangères (ci-après : le DFAE) et en prenant en compte que de nombreuses familles effectuent des voyages avec des enfants en bas âge, la Turquie pourrait être envisagée comme une alternative de pays de rencontre (cf. Conseils</w:t>
      </w:r>
    </w:p>
    <w:p>
      <w:r>
        <w:t>F-1176/2024 Page 11 pour les voyages – Turquie du 2 octobre 2023, www.dfae.admin.ch, Conseils pour les voyages &amp; représentations &gt; Turquie &gt; Conseils pour les voyages – Turquie, consulté en mars 2024), d’autant plus que les invités ont mentionné avoir déjà voyagé dans ce pays. A cela s’ajoute que les contacts peuvent également être maintenus par d’autres moyens tels que la communication téléphonique, la correspondance et les visioconférences.</w:t>
      </w:r>
    </w:p>
    <w:p>
      <w:r>
        <w:rPr>
          <w:b/>
        </w:rPr>
        <w:t>E. 6.5</w:t>
      </w:r>
    </w:p>
    <w:p>
      <w:r>
        <w:t>Sur le vu de ce qui précède, et sans remettre en causes les motifs avancés par les invitants à l’appui de leur recours et leur désir de rencontrer leur petite-fille, le Tribunal estime que les invités ne disposent pas en Syrie d’attaches à ce point étroites ou de responsabilités à ce point importantes pour garantir leur départ de Suisse au terme du séjour sollicité, étant rappelé à ce sujet qu’au regard de la situation de grande instabilité politique prévalant en Syrie, une pratique restrictive se justifie (cf. supra, consid. 5.3). Dans ces circonstances, le Tribunal ne saurait reprocher à l'instance inférieure d'avoir confirmé le refus d'autorisation d'entrée dans l'Espace Schengen concernant le recourant.</w:t>
      </w:r>
    </w:p>
    <w:p>
      <w:r>
        <w:rPr>
          <w:b/>
        </w:rPr>
        <w:t>E. 6.6</w:t>
      </w:r>
    </w:p>
    <w:p>
      <w:r>
        <w:t>Le Tribunal constate enfin qu’aucun motif susceptible de justifier la délivrance d’un visa à validité territoriale limitée a été invoqué et qu’un tel motif ne ressort pas non plus du dossier (cf. supra, consid. 3.3).</w:t>
      </w:r>
    </w:p>
    <w:p>
      <w:r>
        <w:rPr>
          <w:b/>
        </w:rPr>
        <w:t>E. 7.1</w:t>
      </w:r>
    </w:p>
    <w:p>
      <w:r>
        <w:t>Au vu de ce qui précède, l’autorité inférieure, qui dispose d’un large pouvoir d’appréciation en la matière, n’a, par sa décision du 30 janvier 2024, ni violé le droit fédéral ni constaté des faits pertinents de manière inexacte ou incomplète. Cette décision n’est, en outre, pas inopportune (art. 49 PA). Partant, le recours est rejeté.</w:t>
      </w:r>
    </w:p>
    <w:p>
      <w:r>
        <w:rPr>
          <w:b/>
        </w:rPr>
        <w:t>E. 7.2</w:t>
      </w:r>
    </w:p>
    <w:p>
      <w:r>
        <w:t>Etant d’emblée infondé, il est renoncé à un échange d’écritures (art. 57 al. 1 PA a contrario). Un double du mémoire de recours du 23 février 2024 est porté à la connaissance de l’autorité inférieure pour information, en même temps que survient la présente notification.</w:t>
      </w:r>
    </w:p>
    <w:p>
      <w:r>
        <w:t>F-1176/2024 Page 12</w:t>
      </w:r>
    </w:p>
    <w:p>
      <w:r>
        <w:rPr>
          <w:b/>
        </w:rPr>
        <w:t>E. 8.1</w:t>
      </w:r>
    </w:p>
    <w:p>
      <w:r>
        <w:t>Dans leur recours du 23 février 2024, les intéressés ont requis l’octroi de l’assistance judiciaire.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142 III 138 consid. 5.1 ; arrêt du TF 2C_640/2023 du 17 janvier 2024 consid. 3.3). En l’occurrence, le recours s’avérant d’emblée infondé, celui-ci était également d’entrée de cause voué à l’échec, de sorte que la demande d’assistance judiciaire totale doit être rejetée.</w:t>
      </w:r>
    </w:p>
    <w:p>
      <w:r>
        <w:rPr>
          <w:b/>
        </w:rPr>
        <w:t>E. 8.2</w:t>
      </w:r>
    </w:p>
    <w:p>
      <w:r>
        <w:t>Vu l’issue de la cause, il y a lieu de mettre des frais de procédure à la charge des recourants (cf. art. 63 al. 1 PA en relation avec les art. 1 à 3 du règlement du 21 février 2008 concernant les frais, dépens et indemnités fixés par le Tribunal administratif fédéral [FITAF, RS 173.320.2]). Ayant succombé, les intéressés n’ont, par ailleurs, pas droit à des dépens (art. 64 al. 1 a contrario PA).</w:t>
      </w:r>
    </w:p>
    <w:p>
      <w:r>
        <w:t>(dispositif page suivante)</w:t>
      </w:r>
    </w:p>
    <w:p>
      <w:r>
        <w:t>F-1176/2024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