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F-1166/2019 vom 1. Juli 2020</w:t>
      </w:r>
    </w:p>
    <w:p>
      <w:r>
        <w:t>Bundesverwaltungsgericht, 2020-07-01, FR</w:t>
      </w:r>
    </w:p>
    <w:p>
      <w:r>
        <w:rPr>
          <w:b/>
        </w:rPr>
        <w:t xml:space="preserve">Quelle: </w:t>
      </w:r>
      <w:r>
        <w:t>https://mcp.opencaselaw.ch/entscheid/bvger_F-1166_2019</w:t>
      </w:r>
    </w:p>
    <w:p>
      <w:r>
        <w:t>FR: TAF F-1166/2019 du 1 juillet 2020</w:t>
      </w:r>
    </w:p>
    <w:p>
      <w:r>
        <w:t>IT: TAF F-1166/2019 del 1 luglio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L'intéressée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Tant dans son recours que dans son complément du 6 mai 2019, la recourante s'est plainte d'une violation de son droit d'être entendue, faisant valoir que l'autorité inférieure ne l'avait pas auditionnée et avait procédé à un examen sommaire de la situation en se bornant à prendre pour seule considération l'ordonnance pénale du 23 novembre 2018 sans procéder à l'administration de preuves à son bénéfice. Dans la mesure où ces griefs touchent des garanties procédurales de nature formelle dont l'éventuelle violation est susceptible d'entraîner l'annulation de la décision attaquée indépendamment des chances de succès du recours sur le fond, il convient de les examiner en premier lieu.</w:t>
      </w:r>
    </w:p>
    <w:p>
      <w:r>
        <w:rPr>
          <w:b/>
        </w:rPr>
        <w:t>E. 3.1</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142 II 218 consid. 2.3, 142 III 48 consid. 4.1.1, 140 I 285 consid. 6.3.1 ; cf. également les arrêts du TF 6B_687/2014 du 22 décembre 2017 consid. 2.1 et 6B_111/2017 du 17 octobre 2017 consid. 1.1). L'art. 30 al. 1 PA prévoit en particulier que l'autorité entend les parties avant de prendre une décision.</w:t>
      </w:r>
    </w:p>
    <w:p>
      <w:r>
        <w:rPr>
          <w:b/>
        </w:rPr>
        <w:t>E. 3.2</w:t>
      </w:r>
    </w:p>
    <w:p>
      <w:r>
        <w:t>En vertu de l'art. 12 PA,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w:t>
      </w:r>
    </w:p>
    <w:p>
      <w:r>
        <w:rPr>
          <w:b/>
        </w:rPr>
        <w:t>E. 3.3</w:t>
      </w:r>
    </w:p>
    <w:p>
      <w:r>
        <w:t>En l'espèce, force est de constater que l'administration n'a violé ni le droit d'être entendue de la recourante, ni le principe de la maxime inquisitoire. En effet, l'intéressée a été auditionnée le 22 novembre 2018 et a signé un formulaire intitulé "droit d'être entendu en cas de mesures d'éloignement" qui indiquait que, vu les faits constatés, les autorités suisses pouvaient examiner l'opportunité de prononcer à son encontre une mesure d'éloignement (cf. dossier Symic p. 21). La recourante n'a en outre pas souhaité s'exprimer à ce sujet et a apposé sa signature sur la case prévue pour y déposer ses déclarations. Dès lors, on ne saurait déceler dans les faits précités une violation du droit d'être entendu, puisque l'intéressée a eu l'occasion de se déterminer avant que la décision en cause ne soit rendue (cf., parmi d'autres, l'arrêt du TAF F-6140/2018 du 2 septembre 2019 consid. 4.3). S'agissant de son illettrisme allégué, il aurait appartenu à la recourante de s'en prévaloir lors de son appréhension et de son audition en date du 22 novembre 2018. Or, il ne ressort pas des pièces au dossier que cette dernière aurait manifesté une quelconque incompréhension de la situation. Au contraire, il appert qu'elle a bien compris les faits qui lui étaient reprochés et n'a, au demeurant, pas souhaité faire appel à un avocat (cf. dossier Symic pp 14 à 16). Partant, on ne saurait retenir que l'intéressée n'était pas en mesure de comprendre les documents qu'elle a signés lors de son interpellation et de ses auditions.</w:t>
      </w:r>
    </w:p>
    <w:p>
      <w:r>
        <w:rPr>
          <w:b/>
        </w:rPr>
        <w:t>E. 3.4</w:t>
      </w:r>
    </w:p>
    <w:p>
      <w:r>
        <w:t>Le Tribunal considère en outre que l'état de fait était suffisamment complet lorsque le SEM a rendu sa décision au vu de la condamnation du 23 novembre 2018, inscrite au casier judiciaire de la recourante, et des liens avec la Suisse qu'elle a invoqués lors de son audition du 22 novembre 2018 (cf. dossier Symic p. 14).</w:t>
      </w:r>
    </w:p>
    <w:p>
      <w:r>
        <w:rPr>
          <w:b/>
        </w:rPr>
        <w:t>E. 3.5</w:t>
      </w:r>
    </w:p>
    <w:p>
      <w:r>
        <w:t>Le grief tiré de la violation du droit d'être entendu doit dès lors être écarté.</w:t>
      </w:r>
    </w:p>
    <w:p>
      <w:r>
        <w:rPr>
          <w:b/>
        </w:rPr>
        <w:t>E. 4.1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4.2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4.3</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5</w:t>
      </w:r>
    </w:p>
    <w:p>
      <w:r>
        <w:t>En l'occurrence, l'autorité inférieure a prononcé une décision d'interdiction d'entrée en Suisse d'une durée de trois ans à l'encontre de la recourante. Le SEM a considéré qu'une telle mesure d'éloignement s'imposait en raison de la condamnation pénale du 23 novembre 2018.</w:t>
      </w:r>
    </w:p>
    <w:p>
      <w:r>
        <w:rPr>
          <w:b/>
        </w:rPr>
        <w:t>E. 5.1</w:t>
      </w:r>
    </w:p>
    <w:p>
      <w:r>
        <w:t>A titre préliminaire, le Tribunal rappelle qu'il existe deux régimes juridiques différents concernant le prononcé des interdictions d'entrée, selon que l'intéressé est ressortissant d'un Etat de l'Union européenne ou d'un Etat tiers. En l'occurrence, la recourante est une ressortissante de Guinée, soit originaire d'un Etat tiers, de sorte que le prononcé querellé s'examine à l'aune de la LEI, les dispositions de l'ALCP n'étant pas applicables au cas d'espèce.</w:t>
      </w:r>
    </w:p>
    <w:p>
      <w:r>
        <w:rPr>
          <w:b/>
        </w:rPr>
        <w:t>E. 5.2</w:t>
      </w:r>
    </w:p>
    <w:p>
      <w:r>
        <w:t>En l'occurrence, la recourante a été sanctionnée pour faux dans les certificats après avoir présenté un passeport guinéen falsifié lors d'un contrôle douanier. Cette infraction est expressément sanctionnée par le Code pénal suisse (art. 252 CP [RS 311.0]) et constitue donc indéniablement une violation des prescriptions légales, au sens de l'art. 77a al. 1 OASA, portant atteinte à la sécurité et à l'ordre publics, justifiant donc aussi le prononcé d'une mesure d'éloignement. Bien que la recourante ait contesté avoir commis la moindre infraction, il sied de relever que l'ordonnance pénale du 23 novembre 2018 est entrée en force et que son opposition a été déclarée irrecevable, par ordonnance du Tribunal de police de Genève du 17 juin 2019 (cf. dossier TAF act. 10). Aussi, le Tribunal de céans ne décèle aucun motif permettant de remettre en cause l'ordonnance pénale précitée (concernant l'appréciation des preuves en rapport avec des jugements pénaux entrés en force, cf. consid. 4.3 supra).</w:t>
      </w:r>
    </w:p>
    <w:p>
      <w:r>
        <w:rPr>
          <w:b/>
        </w:rPr>
        <w:t>E. 5.3</w:t>
      </w:r>
    </w:p>
    <w:p>
      <w:r>
        <w:t>A ce stade, il s'impose donc de retenir que l'intéressée, par son comportement délictueux, a indiscutablement attenté à la sécurité et à l'ordre publics en Suisse, de sorte qu'elle remplit les conditions d'application de l'art. 67 al. 2 let. a LEI.</w:t>
      </w:r>
    </w:p>
    <w:p>
      <w:r>
        <w:rPr>
          <w:b/>
        </w:rPr>
        <w:t>E. 5.4</w:t>
      </w:r>
    </w:p>
    <w:p>
      <w:r>
        <w:t>Dans la mesure où l'autorité intimée a renoncé à prononcer une mesure d'éloignement d'une durée supérieure à cinq ans à l'endroit de l'intéressée, il ne s'avère pas nécessaire en l'occurrence d'examiner si cette dernière représente une menace qualifiée pour l'ordre et la sécurité publics en Suisse au sens de l'art. 67 al. 3 deuxième phrase LEI.</w:t>
      </w:r>
    </w:p>
    <w:p>
      <w:r>
        <w:rPr>
          <w:b/>
        </w:rPr>
        <w:t>E. 6</w:t>
      </w:r>
    </w:p>
    <w:p>
      <w:r>
        <w:t>Il convient encore d'examiner si la mesure d'éloignement prise par l'autorité intimée satisfait aux principes de la proportionnalité et de l'égalité de traitement.</w:t>
      </w:r>
    </w:p>
    <w:p>
      <w:r>
        <w:rPr>
          <w:b/>
        </w:rPr>
        <w:t>E. 6.1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6.2</w:t>
      </w:r>
    </w:p>
    <w:p>
      <w:r>
        <w:t>En l'espèce, s'agissant de l'intérêt public à l'éloignement de la recourante de Suisse, les motifs retenus à l'appui de la mesure d'éloignement prise à son endroit ne sauraient être contestés (cf. consid. 5.2 supra). L'intéressée a été condamnée, le 23 novembre 2018, par le Ministère public du canton de Genève à une peine pécuniaire de 30 jours-amende à Fr. 10.- avec sursis pendant trois ans, pour faux dans les certificats. Or, le fait de détenir un passeport falsifié, même si ce comportement ne met pas en danger des biens juridiques tels que la vie, la santé, la liberté ou la propriété, constitue à l'évidence une infraction spécifiquement réprimée par le CP, du fait qu'elle met en péril la confiance que l'on accorde, dans les relations juridiques, à un document attestant l'identité d'une personne (cf. mutatis mutandis [faux dans les titres] ATF 132 IV 59 consid. 5.1). On retiendra également en défaveur de l'intéressée le fait qu'elle persiste à nier la commission de cette infraction, malgré la présence d'une ordonnance pénale entrée en force. Au vu de l'infraction retenue contre la recourante, il existe donc un intérêt public à son éloignement de Suisse.</w:t>
      </w:r>
    </w:p>
    <w:p>
      <w:r>
        <w:rPr>
          <w:b/>
        </w:rPr>
        <w:t>E. 6.3</w:t>
      </w:r>
    </w:p>
    <w:p>
      <w:r>
        <w:t>Le Tribunal ne saurait en outre accorder une importance prépondérante aux intérêts privés avancés par l'intéressée, soit en particulier la présence en Suisse de membres de sa famille, à savoir son père et ses demi-frères et soeurs. En effet, la recourante étant majeure et ne se trouvant pas dans un rapport de dépendance spéciale, ces relations ne constituent pas des attaches familiales étroites avec la Suisse, susceptibles d'être protégées par l'art. 8 CEDH (cf. notamment ATF 140 I 77 consid. 5.2 ; 137 I 113 consid. 6.1 ; 129 II 11 consid. 2). Il est à relever également que l'intéressée pourra toujours garder le contact avec lesdits membres de sa famille par des moyens autres que sa présence physique en Suisse, tels des échanges réguliers par Internet et téléphone, voire des visites par ces derniers auprès de l'intéressée hors de Suisse, par exemple en France voisine où elle réside. Pour les mêmes raisons, l'intéressée ne peut se prévaloir de l'art. 14 Cst. La recourante n'a fait valoir aucune autre attache avec la Suisse.</w:t>
      </w:r>
    </w:p>
    <w:p>
      <w:r>
        <w:rPr>
          <w:b/>
        </w:rPr>
        <w:t>E. 6.4</w:t>
      </w:r>
    </w:p>
    <w:p>
      <w:r>
        <w:t>En considération de l'ensemble des éléments objectifs et subjectifs de la cause, l'interdiction d'entrée en Suisse prise par l'autorité inférieure le 15 janvier 2019 était certes une mesure nécessaire et adéquate afin de protéger l'ordre public. Cela étant, le Tribunal considère que la durée de trois ans n'est pas compatible in casu avec la jurisprudence en la matière, au regard de la nature du délit commis, de la lourdeur de la condamnation pénale prononcée, de l'unique infraction commise et des circonstances entourant le prononcé d'autres interdictions d'entrée d'une durée similaire en présence de condamnations pour faux dans les certificats (arrêts du TAF F-5969/2018 du 24 octobre 2019, F-2293/2017 du 27 avril 2018 et F-219/2017 du 3 mai 2018).</w:t>
      </w:r>
    </w:p>
    <w:p>
      <w:r>
        <w:rPr>
          <w:b/>
        </w:rPr>
        <w:t>E. 6.5</w:t>
      </w:r>
    </w:p>
    <w:p>
      <w:r>
        <w:t>Compte tenu de la jurisprudence du TAF susnommée, le respect des principes de la proportionnalité et de l'égalité de traitement impose une réduction de la durée de la mesure litigieuse à deux ans, à compter de son prononcé. Si la durée retenue est légèrement supérieure à celle retenue dans l'arrêt - relativement ancien - du TAF C-4329/2011 du 14 mars 2012 invoquée par la recourante, cela s'explique en particulier par le fait que celle-ci a persisté à nier la commission de son infraction tout au long de la procédure, malgré la présence d'une ordonnance pénale entrée en force, ce manque patent d'introspection pouvant traduire un risque de récidive accru.</w:t>
      </w:r>
    </w:p>
    <w:p>
      <w:r>
        <w:rPr>
          <w:b/>
        </w:rPr>
        <w:t>E. 7</w:t>
      </w:r>
    </w:p>
    <w:p>
      <w:r>
        <w:t>Il s'ensuit que le recours doit être partiellement admis et la décision querellée du 15 janvier 2019 réformée en ce sens que les effets de l'interdiction d'entrée sont limités au 14 janvier 2021. Ceux-ci expireront donc à l'issue d'un délai de deux ans à partir de la prise d'effet de la décision attaquée au 15 janvier 2019.</w:t>
      </w:r>
    </w:p>
    <w:p>
      <w:r>
        <w:rPr>
          <w:b/>
        </w:rPr>
        <w:t>E. 7.1</w:t>
      </w:r>
    </w:p>
    <w:p>
      <w:r>
        <w:t>Dans la mesure où la recourante n'obtient que très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w:t>
      </w:r>
    </w:p>
    <w:p>
      <w:r>
        <w:rPr>
          <w:b/>
        </w:rPr>
        <w:t>E. 7.2</w:t>
      </w:r>
    </w:p>
    <w:p>
      <w:r>
        <w:t>La recourante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mandataire de la recourante, le Tribunal estime, considérant les art. 8 ss FITAF, que le versement d'un montant de 500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