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F-1159/2021 vom 23. März 2021</w:t>
      </w:r>
    </w:p>
    <w:p>
      <w:r>
        <w:t>Bundesverwaltungsgericht, 2021-03-23, DE</w:t>
      </w:r>
    </w:p>
    <w:p>
      <w:r>
        <w:rPr>
          <w:b/>
        </w:rPr>
        <w:t xml:space="preserve">Quelle: </w:t>
      </w:r>
      <w:r>
        <w:t>https://mcp.opencaselaw.ch/entscheid/bvger_F-1159_2021</w:t>
      </w:r>
    </w:p>
    <w:p>
      <w:r>
        <w:t>FR: TAF F-1159/2021 du 23 mars 2021</w:t>
      </w:r>
    </w:p>
    <w:p>
      <w:r>
        <w:t>IT: TAF F-1159/2021 del 23 marzo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 dessen Bestimmung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Wenn eine antragstellende Person, aus einem Drittstaat kommend, die Land-, See- oder Luftgrenze eines Mitgliedstaates illegal überschritten hat, ist dieser Staat gemäss Art. 13 Abs. 1 Dublin-III-VO für die Prüfung des Antrags auf internationalen Schutz zuständig. Die Zuständigkeit endet gemäss dieser Norm zwölf Monate nach dem Tag des illegalen Grenzübertritts.</w:t>
      </w:r>
    </w:p>
    <w:p>
      <w:r>
        <w:rPr>
          <w:b/>
        </w:rPr>
        <w:t>E. 4.4</w:t>
      </w:r>
    </w:p>
    <w:p>
      <w:r>
        <w:t>Erweist es sich als unmöglich, eine antragstellende Person in den eigentlich zuständigen Mitgliedstaat zu überstellen, weil es wesentliche Gründe für die Annahme gibt, dass das Asylverfahren und die Aufnahmebedingungen für sie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Mitgliedstaat zuständig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er am 17. September 2014 in Italien illegal in das Hoheitsgebiet der Dublin-Staaten eingereist war (Vorakten act. 8/1). Die Vorinstanz ersuchte deshalb die italienischen Behörden am 21. Januar 2021 um Übernahme des Beschwerdeführers gestützt auf Art. 13 Abs. 1 Dublin-III-VO. Diese liessen das Ersuchen innert der in Art. 22 Abs. 1 Dublin-III-VO vorgesehenen Frist unbeantwortet, womit sie ihre Zuständigkeit implizit anerkannten (Art. 22 Abs. 7 Dublin-III-VO). Die grundsätzliche Zuständigkeit Italiens ist somit gegeben. In seiner ergänzenden Beschwerdeschrift führte er mit Verweis auf die Arztberichte aus (BVGer act. 3 S. 1 f.), dass er unter verschiedenen gesundheitlichen Problemen leide (Obstipation, starke Schmerzen beim Stuhlgang wegen innerer Hämorrhoiden, Lipom am Rücken, Beinschmerzen aufgrund eines Velounfalls in Italien, Beckenschiefstand ausgelöst durch die Beinlängenverkürzung, Verbrennungen an den Beinen und Bauchschüsse als Opfer von Folter). Bezüglich des Lipoms sei anzumerken, dass nicht klar sei, ob es auch ein Tumor oder eine Zyste sein könne, wovon der Arzt nicht ausgehe (Vorakten act. 25/2), aber die Vorinstanz eine Behandlung mit dem Verweis, dass kein medizinischer Notfall vorliege, ablehne. Der Beschwerdeführer brachte des Weiteren vor, dass die Gesundheitsversorgung in Italien nicht zureichend sei und nach kurzer Zeit die Patienten ihre Medikamente selbst bezahlen müssten, obwohl sie im Gesundheitssystem registriert seien (BVGer act. 3 S. 2 f.). Aufgrund der Pandemie sei im italienischen Gesundheitssystem einiges im Argen. Überdies würden gestützt auf das Salvini-Dekret nur lückenhafte Personenregistrationen aufgrund sich widersprechender Ansichten über den Aufenthaltstitel zum Erhalt einer Gesundheitskarte vorgenommen und das Anrecht auf einen Hausarzt bestritten. Diesbezüglich habe es die Vorinstanz mit Verweis auf das Urteil des Bundesverwaltungsgerichtes BVGer D-2097/2019 vom 11. Oktober 2019 versäumt, bei den italienischen Behörden individuelle Zusicherungen zum Zugang zu medizinischen Behandlungen einzuholen. Es sei daher in seinem Fall davon auszugehen, dass er in Italien die von ihm benötigten Medikamente Laxoberon und Elektrolyten nicht und auch keine Behandlung erhalten werde. Die ihm in der Schweiz verschriebenen Schmerzmedikamente nehme er nicht ein, weil sie nichts nützen würden. Seine medizinischen Probleme würden zwar derzeit keinen Notfall darstellen, aber was würde geschehen, wenn diese in Italien schlimmer werden würden. Daher seien weitere Abklärungen notwendig. Den beiliegenden Arztberichten sei zu entnehmen, dass er wegen erlittener Folter in seinem Heimatland psychische Probleme habe (BVGer act. 3 S. 3 f.). Die Vorinstanz habe diesen Umstand betreffend allfälliger Behandlungsmöglichkeiten nicht weiter abgeklärt und in ihrer Verfügung auch nicht erwähnt. Der Beschwerdeführer verwies bezüglich Umgang mit Folteropfern auf die Empfehlungen der nationalen Kommission zur Verhütung von Folter und auf ein Urteil des UNO-Komitees gegen Folter (engl. Committee Against Torture, kurz CAT) (CAT/C/65/D/758/2016) vom 6. Dezember 2018, woraus sich ergebe, dass eine Überstellung nach Italien gegen Art. 3 der UNO-Antifolterkonvention verstosse. Des Weiteren habe die Vorinstanz keine Abklärungen getroffen, ob er seinen Aufenthaltsstatus, welchen er mit Verweis auf das Salvini-Dekret wegen fehlender Arbeit verloren habe, wiedererhalten würde. Könne er keine neuen Sachverhaltselemente geltend machen, werde ihm kein Aufenthaltstitel ausgestellt und er würde in einem nicht rechtsstaatlich strukturierten Asylverfahren weggewiesen und müsste mit einer grundlosen Inhaftierung sowie einer Kettenabschiebung in sein Heimatland rechnen, was gegen Art. 3 der UNO-Antifolterkonvention verstosse (BVGer act. 3 S. 4 f.). Zur allgemeinen Situation in Italien führte der Beschwerdeführer mit diversen Hinweisen auf Stellungnahmen von Flüchtlingshilfsorganisationen aus, dass ein Zugang zum Asylverfahren, zu sanitarischen Einrichtungen und Unterkünften sowie medizinischen Institutionen nicht gegeben sei. Es sei sogar so, dass man in Italien nur für eine bestimmte Zeit in einem Asylcamp wohnen dürfe und erst nach fünf Jahren Zugang zu Sozialwohnungen habe und vorher, wie er, auf der Strasse leben müsse und auch der Zugang zum Arbeitsmarkt und der Sozialhilfe eingeschränkt sei (BVGer act. 3 S. 6 f.). Der Beschwerdeführer legte in der Beschwerdeergänzung erstmals offen, dass er in der Schweiz eine Tochter namens C._______ habe. Im erstinstanzlichen Verfahren habe er dies nicht erwähnt, weil er keinen Beweis dafür gehabt habe und nicht sicher gewesen sei, ob die Tochter und deren Mutter namens D._______ noch in der Schweiz weilen würden und sie damit einverstanden wären, im vorliegenden Verfahren erwähnt zu werden. Dank der Hilfe eines Freundes habe er zumindest telefonisch wieder Kontakt aufnehmen können. Es sei ihm sehr wichtig, bei seiner Tochter zu sein und sie beim Aufwachsen begleiten zu können. Dahingehend sei Art. 8 EMRK zu beachten (BVGer act. 3 S. 5 f.).</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[(vgl. Urteil F-19/2021 vom 12. Januar 2021 sowie die Urteile E-962/2019 vom 17. Dezember 2019 sowie D-6358/2015 vom 7. April 2016 (als Referenzurteile publiziert)) mit Hinweis auf die bisherige publizierte Praxis des Bundesverwaltungsgerichts].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6.1</w:t>
      </w:r>
    </w:p>
    <w:p>
      <w:r>
        <w:t>Der Beschwerdeführer fordert die Anwendung der Ermessensklausel von Art. 17 Abs. 1 Dublin-III-VO, respektive der - das Selbsteintrittsrecht im Landesrecht konkretisierenden - Bestimmung von Art. 29a Abs. 3 AsylV1, gemäss welcher das SEM das Asylgesuch "aus humanitären Gründen" auch dann behandeln kann, wenn dafür gemäss Dublin-III-VO ein anderer Staat zuständig wäre.</w:t>
      </w:r>
    </w:p>
    <w:p>
      <w:r>
        <w:rPr>
          <w:b/>
        </w:rPr>
        <w:t>E. 6.2</w:t>
      </w:r>
    </w:p>
    <w:p>
      <w:r>
        <w:t>Der Beschwerdeführer hat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hinreichend darlegen können, dass die ihn bei einer Rückführung zu erwartenden Bedingungen in Italien derart schlecht seien, dass sie zu einer Verletzung von Art. 4 der EU-Grundrechtecharta, Art. 3 EMRK oder Art. 3 FoK führen könnten. Vor diesem Hintergrund vermag der Beschwerdeführer nichts zu seinen Gunsten abzuleiten. Er hat sodann keine konkreten Hinweise für die Annahme dargelegt,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6.3</w:t>
      </w:r>
    </w:p>
    <w:p>
      <w:r>
        <w:t>Das italienische Fürsorgesystem für Asylsuchende und Personen mit Schutzstatus steht zwar in der Kritik, das Bundesverwaltungsgericht ist aber im Referenzurteil E-962/2019 vom 17. Dezember 2019 zum Schluss gelangt, auch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etwa Urteile des BVGer F-5520/2020 vom 18. Februar 2021 E. 5.3; F-444/2021 vom 8. Februar 2021 E. 5; F-5083/2020 vom 22. Oktober 2020 E. 4; F-5058/2020 vom 20. Oktober 2020 E. 4; F-4584/2020 vom 17. September 2020 E. 5.2 und Referenzurteil D-2846/2020 vom 16. Juli 2020 E. 6.1). Diese Einschätzung gilt auch,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Urteile des BVGer F-2628/2020 vom 29. Mai 2020 E. 5.3; F-2009/2020 vom 24. April 2020 E. 8.3 oder F-762/2020 vom 18. Februar 2020 S. 5). Vor diesem Hintergrund kann der Beschwerdeführer aus den in der Beschwerde zitierten Quellen nichts zu seinen Gunsten ableiten. Bei allfälligen Schwierigkeiten hat er die Möglichkeit, die dafür zuständigen Behörden beziehungsweise die vor Ort tätigen karitativen Organisationen zu kontaktieren. Nötigenfalls kann er in Italien auch behördlichen Schutz vor Drittpersonen beanspruchen, weshalb er aus seinem Einwand, dieses Land sei nicht sicher, ebenso wenig für sich abzuleiten vermag.</w:t>
      </w:r>
    </w:p>
    <w:p>
      <w:r>
        <w:rPr>
          <w:b/>
        </w:rPr>
        <w:t>E. 6.4</w:t>
      </w:r>
    </w:p>
    <w:p>
      <w:r>
        <w:t>Unter diesen Umständen ist die Anwendung von Art. 3 Abs. 2 Dublin-III-VO nicht gerechtfertigt.</w:t>
      </w:r>
    </w:p>
    <w:p>
      <w:r>
        <w:rPr>
          <w:b/>
        </w:rPr>
        <w:t>E. 6.5</w:t>
      </w:r>
    </w:p>
    <w:p>
      <w:r>
        <w:t>Eine zwangsweise Rückweisung von Personen mit gesundheitlichen Problemen kann nur ganz ausnahmsweise einen Verstoss gegen Art. 3 EMRK darstellen (vgl. auch BVGer Urteil F-5843/2019 vom 13. Mai 2020 E. 6.3.1).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oder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BVGE 2011/9 E. 7 mit Hinweisen auf die damalige Praxis des Europäischen Gerichtshofs für Menschenrechte [EGMR] sowie Urteil des EGMR Paposhvili gegen Belgien 13. Dezember 2016, Grosse Kammer 41738/10, §§ 180-193 m.w.H.). Eine solche Situation ist vorliegend nicht gegeben. Der Beschwerdeführer konnte nicht nachweisen, dass eine Überstellung seine Gesundheit ernsthaft gefährden würde. Sein Gesundheitszustand vermag eine Unzulässigkeit im Sinne der erwähnten restriktiven Rechtsprechung nicht zu rechtfertigen. Die medizinischen Probleme sind auch nicht von einer derartigen Schwere, dass aus humanitären Gründen von einer Überstellung abgesehen werden müsste. Dies umso weniger, als der Beschwerdeführer in seiner Rechtsmitteleingabe selbst angab, er stelle keinen medizinischen Notfall dar (BVGer act. 3 S. 3), was die sich in den Vorakten befindlichen medizinischen Berichte bestätigen und er für seine gesundheitlichen Beschwerden (Vorakten act. 15/2) auch Medikamente erhielt (Vorakten act. 11/1, 12/2 und 31/1). So konnte der behandelnde Arzt denn auch keine Beinfrakturen feststellen und weitere Untersuchungen betreffend das Lipom seien nicht notwendig (Vorakten act. 14/1 und 23/2). Vor diesem Hintergrund gilt er nicht als vulnerable Person im Sinne des Referenzurteils E-962/2019 vom 17. Dezember 2019 E. 7.4.3 (vgl. diesbzgl. auch das Urteil F-1268/2020 vom 12. März 2020 S. 6), sodass bei ihm keine individuelle Garantieerklärung der italienischen Behörden hinsichtlich Unterbringung und medizinischer Behandlung einzuholen ist (vgl. zitiertes Referenzurteil E-962/2019 E. 7.4 und 8). Desgleichen erübrigt es sich, auf das seit dem erwähnten Referenzurteil in Italien in Kraft getretene Gesetzesdekret Nr. 130/2020 zur Modifikation zentraler Bestimmungen des «Salvini-Dekrets» einzugehen. Die Frage, ob der Beschwerdeführer unter Geltung des neuen Gesetzesdekrets angemessen betreut und untergebracht würde, kann in Anbetracht der fehlenden Vulnerabilität offengelassen werden (vgl. BVGer F-5520/2020, Urteil vom 18. Februar 2021 E. 5.5.3). Bei dieser Sachlage hat die Vorinstanz weder ihre Untersuchungspflicht noch ihre Begründungspflicht verletzt. Was die Berufung auf Art. 8 EMRK (Schutz des Privat- und Familienlebens) aufgrund eines behaupteten Vaterschaftsverhältnis betrifft, bringt der Beschwerdeführer keinerlei Beweis vor. So verneinte der Beschwerdeführer bei der Personalienaufnahme vom 14. Januar 2021 die gestellte Frage nach Kindern (Vorakten act. 10/7). Auch ergab eine Abfrage im zentralen Migrationsinformationssystem (ZEMIS) keinen Hinweis auf die behauptete Vaterschaft beziehungsweise Beziehung zu einer in der Schweiz mit Anspruch auf Aufenthalt wohnenden Partnerin. Somit erweist sich die Anrufung von Art. 8 EMRK als unbehelflich.</w:t>
      </w:r>
    </w:p>
    <w:p>
      <w:r>
        <w:rPr>
          <w:b/>
        </w:rPr>
        <w:t>E. 6.6</w:t>
      </w:r>
    </w:p>
    <w:p>
      <w:r>
        <w:t>Für einen Selbsteintritt der Schweiz gemäss Art. 29a Abs. 3 AsylV1 in Verbindung mit Art. 17 Dublin-III-VO besteht demnach keine Veranlassung. Eine Ermessenunterschreitung seitens des SEM in seiner Verfügung vom 9. März 2021 liegt nicht vor. Der Vollständigkeit halber ist festzuhalten, dass die Dublin-III-VO den Schutzsuchenden kein Recht einräumt, den ihren Antrag prüfenden Staat selber auszuwählen (vgl. auch BVGE 2010/45 E. 8.3).</w:t>
      </w:r>
    </w:p>
    <w:p>
      <w:r>
        <w:rPr>
          <w:b/>
        </w:rPr>
        <w:t>E. 6.7</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7</w:t>
      </w:r>
    </w:p>
    <w:p>
      <w:r>
        <w:t>Die vom Beschwerdeführer geltend gemachten gesundheitlichen Beschwerden und der Bedarf an Medikationen stellen kein Hindernis für seine Überstellung nach Italien dar. Es gibt keinen Grund zur Annahme, dass ihm in Italien die notwendige medizinische Behandlung verweigert werden würde. Wie die Vorinstanz in der angefochtenen Verfügung bereits aufgezeigt hat, werden die schweizerischen Behörden, die mit dem Vollzug der angefochtenen Verfügung beauftragt sind, den medizinischen Umständen bei der Bestimmung der konkreten Modalitäten der Überstellung Rechnung tragen und die italienischen Behörden vorgängig in geeigneter Weise über die spezifischen Gegebenheiten informieren (vgl. Art. 31 f. Dublin-III-VO). Die Vorinstanz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8</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9</w:t>
      </w:r>
    </w:p>
    <w:p>
      <w:r>
        <w:t>Nach dem Gesagten ist die Beschwerde abzuweisen und die Verfügung der Vorinstanz zu bestätigen. Angesichts dessen fällt eine Rückweisung der Sache zur weiteren Abklärung an die Vorinstanz ausser Betracht, weshalb der entsprechende Eventualantrag abzuweisen ist.</w:t>
      </w:r>
    </w:p>
    <w:p>
      <w:r>
        <w:rPr>
          <w:b/>
        </w:rPr>
        <w:t>E. 10</w:t>
      </w:r>
    </w:p>
    <w:p>
      <w:r>
        <w:t>Mit dem Urteil in der Sache fällt der am 16. März 2021 angeordnete Vollzugsstopp dahin und die Vorinstanz hat dem Beschwerdeführer eine neue Frist zur Ausreise anzusetzen. Das Gesuch um Erteilung der aufschiebenden Wirkung der Beschwerde ist somit gegenstandslos geworden. Die Gesuche um Gewährung der unentgeltlichen Rechtspflege (Art. 65 VwVG) respektive Verzicht auf Erhebung eines Kostenvorschusses sind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