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F-1157/2023 vom 7. März 2023</w:t>
      </w:r>
    </w:p>
    <w:p>
      <w:r>
        <w:t>Bundesverwaltungsgericht, 2023-03-07, DE</w:t>
      </w:r>
    </w:p>
    <w:p>
      <w:r>
        <w:rPr>
          <w:b/>
        </w:rPr>
        <w:t xml:space="preserve">Quelle: </w:t>
      </w:r>
      <w:r>
        <w:t>https://mcp.opencaselaw.ch/entscheid/bvger_F-1157_2023</w:t>
      </w:r>
    </w:p>
    <w:p>
      <w:r>
        <w:t>FR: TAF F-1157/2023 du 7 mars 2023</w:t>
      </w:r>
    </w:p>
    <w:p>
      <w:r>
        <w:t>IT: TAF F-1157/2023 del 7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in Verbindung mit Art. 31 VGG ist das Bundesverwaltungsgericht zur Beurteilung von Beschwerden auf dem Gebiet des Asyls zuständig. Der Beschwerdeführer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1.3</w:t>
      </w:r>
    </w:p>
    <w:p>
      <w:r>
        <w:t>Das Bundesverwaltungsgericht entscheidet in der vorliegenden Sache endgültig (Art. 83 Bst. d Ziff. 1 BGG; Art. 105 AsylG).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Auf Beschwerdeebene werden formelle Rügen (Verletzung des Anspruchs auf rechtliches Gehör sowie der Pflicht zur vollständigen und richtigen Abklärung des rechtserheblichen Sachverhalts) erhoben. Sie sind vorab zu beurteilen, da sie gegebenenfalls geeignet sind, eine Kassation der vorinstanzlichen Verfügung zu bewirken.</w:t>
      </w:r>
    </w:p>
    <w:p>
      <w:r>
        <w:rPr>
          <w:b/>
        </w:rPr>
        <w:t>E. 4.2</w:t>
      </w:r>
    </w:p>
    <w:p>
      <w:r>
        <w:t>Gemäss Art. 29 Abs. 2 BV und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w:t>
      </w:r>
    </w:p>
    <w:p>
      <w:r>
        <w:rPr>
          <w:b/>
        </w:rPr>
        <w:t>E. 4.3</w:t>
      </w:r>
    </w:p>
    <w:p>
      <w:r>
        <w:t>Die Sachverhaltsfeststellung ist namentlich dann unrichtig, wenn der Verfügung ein aktenwidriger oder nicht weiter belegbarer Sachverhalt zugrunde gelegt wurde oder wenn Beweise unzutreffend gewürdigt wurden. Unvollständig ist sie, wenn die Behörde trotz Untersuchungsmaxime den Sachverhalt nicht von Amtes wegen abgeklärt oder nicht alle für die Entscheidung wesentlichen Sachumstände berücksichtigt hat (vgl. dazu Benjamin Schindler, in: Kommentar zum Bundesgesetz über das Verwaltungsverfahren [VwVG], 2. Aufl. 2019, Art. 49 N. 29).</w:t>
      </w:r>
    </w:p>
    <w:p>
      <w:r>
        <w:rPr>
          <w:b/>
        </w:rPr>
        <w:t>E. 4.4</w:t>
      </w:r>
    </w:p>
    <w:p>
      <w:r>
        <w:t>Der Beschwerdeführer rügt als eine Verletzung seines Gehörsanspruchs sowie der Pflicht zur vollständigen Abklärung des rechtserheblichen Sachverhalts, dass die Vorinstanz die Gefahren beziehungsweise Übergriffe, denen er in Kroatien ausgesetzt gewesen sei und bei einer Rückführung wieder ausgesetzt wäre, nicht individuell geprüft, sondern nur auf behördliche Aussagen und «pauschale Versprechungen» verwiesen habe. Auch eine ausreichende Abklärung in Bezug auf systemische Schwachstellen im kroatischen Asylsystem sei unterblieben.</w:t>
      </w:r>
    </w:p>
    <w:p>
      <w:r>
        <w:rPr>
          <w:b/>
        </w:rPr>
        <w:t>E. 4.5</w:t>
      </w:r>
    </w:p>
    <w:p>
      <w:r>
        <w:t>Entgegen der Auffassung des Beschwerdeführers hat die Vorinstanz eine hinreichende Einzelfallprüfung vorgenommen, indem sie die Erkenntnisse aus den Abklärungen der Schweizer Botschaft in Kroatien betreffend möglichen «push-backs» und betreffend Dublin-Rückkehrer sowie die im Dublin-Gespräch vom 8. Februar 2023 erhobenen Einwände in zusammengefasster Form wiedergegeben und gewürdigt hat. Sie hat nachvollziehbar aufgezeigt, von welchen Überlegungen sie sich bei ihrer Sachverhaltswürdigung leiten liess. In diesem Zusammenhang ist festzuhalten, dass sich die verfügende Behörde nicht ausdrücklich mit jeder tatbestandlichen Behauptung und jedem rechtlichen Einwand auseinandersetzen muss, sondern sich auf die wesentlichen Gesichtspunkte beschränken darf (BGE 143 III 65 E. 5.2). Alleine der Umstand, dass die Vorinstanz hier unter Berücksichtigung der entscheidwesentlichen Sachumstände und nach Würdigung der Parteivorbringen zu einem anderen Schluss als der Beschwerdeführer kommt, stellt keine Verletzung des Anspruchs auf rechtliches Gehör respektive der Pflicht zur vollständigen und richtigen Abklärung des rechtserheblichen Sachverhalts dar, sondern beschlägt die Frage der materiellen Würdigung.</w:t>
      </w:r>
    </w:p>
    <w:p>
      <w:r>
        <w:rPr>
          <w:b/>
        </w:rPr>
        <w:t>E. 4.6</w:t>
      </w:r>
    </w:p>
    <w:p>
      <w:r>
        <w:t>Soweit der Beschwerdeführer schliesslich geltend macht, die kroatischen Behörden hätten seiner Rückübernahme nur teilweise zugestimmt, trifft dies mit Blick auf den klaren Wortlaut der vorliegenden Zustimmungserklärung nicht zu. Anders als im noch rechtshängigen Fall, welchen die Rechtsvertreterin des Beschwerdeführers referenziert, lautet vorliegend die Erklärung der kroatischen Behörden auf «accepted» (und nicht bloss auf «partially accepted»). Somit ist die Bereitschaft zur Wiederaufnahme ausgewiesen und muss entgegen dem Dafürhalten des Beschwerdeführers nicht weiter abgeklärt werden. Daran ändert auch nichts, dass die Zustimmung Kroatiens gestützt auf Art. 20 Abs. 5 Dublin-III-VO erfolgt ist (vgl. dazu nachstehend E. 6).</w:t>
      </w:r>
    </w:p>
    <w:p>
      <w:r>
        <w:rPr>
          <w:b/>
        </w:rPr>
        <w:t>E. 4.7</w:t>
      </w:r>
    </w:p>
    <w:p>
      <w:r>
        <w:t>Nach dem Ausgeführten besteht keine Veranlassung, die angefochtene Verfügung aus formellen Gründen aufzuheben und die Sache an die Vorinstanz zurückzuweisen. Das diesbezügliche Rechtsbegehren ist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Gerichtshofs der Europäischen Union [EuGH] vom 2. April 2019, H. und R., C 582/17 und C-583/17, EU:C:2019:280, Rn. 47-50; BVGE 2019 VI/7 E. 4-6, 2017 VI/5 E. 6.2 und 8.2.1 m.H.).</w:t>
      </w:r>
    </w:p>
    <w:p>
      <w:r>
        <w:rPr>
          <w:b/>
        </w:rPr>
        <w:t>E. 5.3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 / Andrea Sprung, Dublin-III-Verordnung, 2014, Art. 20 K. 19).</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der vorgenannten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der genannten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Vorliegend ist den Akten zu entnehmen, dass der Beschwerdeführer am 25. November 2022 in Kroatien ein Asylgesuch gestellt hat. Daraufhin stimmten die kroatischen Behörden dem Wiederaufnahmeersuchen der Vorinstanz am 17. Februar 2023 gestützt auf Art. 20 Abs. 5 Dublin-III-VO zu und wiesen darauf hin, dass das Zuständigkeitsverfahren von ihnen fortgeführt werde. Damit ist die Antragsstellung in Kroatien erstellt. Gleiches gilt für den Umstand, dass das kroatische Verfahren zur Bestimmung des für das Asylgesuch des Beschwerdeführers zuständigen Mitgliedstaates gemäss Art. 20 Abs. 5 Dublin-III-VO noch nicht abgeschlossen wurde und nach einer Rücküberstellung des Beschwerdeführers fortgesetzt wird (vgl. hierzu etwa die Urteile des BVGer E-4341/2022 vom 8. Dezember 2022 E. 4.3; D-5623/2022 vom 12. Dezember 2022 E. 5).</w:t>
      </w:r>
    </w:p>
    <w:p>
      <w:r>
        <w:rPr>
          <w:b/>
        </w:rPr>
        <w:t>E. 6.2</w:t>
      </w:r>
    </w:p>
    <w:p>
      <w:r>
        <w:t>Dem Einwand des Beschwerdeführers, er sei in Kroatien zur Abgabe seiner Fingerabdrücke gezwungen worden und habe dort kein Asylgesuch gestellt, ist entgegen zu halten, dass sich die Abnahme der Fingerabdrücke von illegal einreisenden ausländischen Personen und Asylsuchenden auf Art. 14 Abs. 1 der Verordnung (EU) Nr. 603/2013 des Europäischen Parlaments und des Rates vom 26. Juni 2013 (Eurodac-Verordnung) stützt. Im Übrigen sind keine konkreten Anhaltspunkte ersichtlich, dass er in Kroatien zur Stellung eines Asylgesuchs gezwungen worden wäre beziehungsweise weshalb ihn die kroatischen Behörden dazu zwingen sollten. Deren Vorgehen ist insofern nicht zu beanstanden (vgl. Urteil des BVGer E-305/2023 vom 25. Januar 2023 E. 7). Auch beim Vorbringen, die kroatischen Behörden seien ihrer Informationspflicht gemäss Art. 4 Dublin-III-VO nicht nachgekommen, handelt es sich schliesslich um eine unbelegte Parteibehauptung. Ferner ist darauf hinzuweisen, dass die entsprechenden Informationen auch anlässlich des persönlichen Gesprächs gemäss Art. 5 Dublin-III-VO vermittelt werden können. Zudem hat sich der Beschwerdeführer durch seine Weiterreise in die Schweiz wenige Tage nach Erfassung der Fingerabdrücke und Stellung des Asylgesuchs in Kroatien einem dortigen Asylverfahren entzogen.</w:t>
      </w:r>
    </w:p>
    <w:p>
      <w:r>
        <w:rPr>
          <w:b/>
        </w:rPr>
        <w:t>E. 6.3</w:t>
      </w:r>
    </w:p>
    <w:p>
      <w:r>
        <w:t>Die grundsätzliche Zuständigkeit Kroatiens für die Durchführung des Asylverfahrens ist somit gegeben.</w:t>
      </w:r>
    </w:p>
    <w:p>
      <w:r>
        <w:rPr>
          <w:b/>
        </w:rPr>
        <w:t>E. 7.1</w:t>
      </w:r>
    </w:p>
    <w:p>
      <w:r>
        <w:t>Der Beschwerdeführer macht systemische Mängel im Asyl- und Aufnahmesystem Kroatiens geltend. Im Lichte von Art. 3 Abs. 2 Dublin-III-VO ist deshalb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Wie die Vorinstanz zutreffend ausgeführt hat, ist Kroatien Signatarstaat der EMRK, des Übereinkommens vom 10. Dezember 1984 gegen Folter und andere grausame, unmenschliche oder erniedrigende Behandlung oder Strafe (FoK, SR 0.105), des Abkommens über die Rechtsstellung der Flüchtlinge (FK, SR 0.142.30), des Zusatzprotokolls zur FK vom 31. Januar 1967 (SR 0.142.301) sowie des Internationalen Übereinkommens zur Beseitigung jeglicher Form von Rassendiskriminierung vom 21. Dezember 1965 (SR 0.104)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Sodann hat die Vorinstanz im Sinne der Rechtsprechung des Bundesverwaltungsgerichts zutreffend dargelegt, dass aktuell im Bereich der Wiederaufnahmeverfahren («take back») keine Gründe für die Annahme vorliegen, das Asylverfahren (inklusive Zuständigkeitsverfahren) und die Aufnahmebedingungen für Antragstellende in Kroatien würden systemische Schwachstellen im Sinne von Art. 3 Abs. 2 Sätze 2 und 3 Dublin-III-VO aufweisen (vgl. etwa die Urteile des BVGer E-5427/2022 vom 1. Dezember 2022 E. 5.2; D-4865/2022 vom 2. November 2022 E. 5.4; F-3957/2022 vom 11. Oktober 2022 E. 5). Unbehelflich ist in diesem Zusammenhang auch der Verweis des Beschwerdeführers auf das Urteil des BVGer F-5675/2021 vom 6. Januar 2022, da sich dieses auf eine sog. «take charge» und nicht - wie vorliegend - eine «take back» Konstellation bezog.</w:t>
      </w:r>
    </w:p>
    <w:p>
      <w:r>
        <w:rPr>
          <w:b/>
        </w:rPr>
        <w:t>E. 7.3</w:t>
      </w:r>
    </w:p>
    <w:p>
      <w:r>
        <w:t>Weiter ist die Vorinstanz unter Verweis auf Abklärungen durch die Schweizer Botschaft in Kroatien zu Recht zum Schluss gekommen, dass Personen, welche im Rahmen eines Dublin-Verfahrens nach Kroatien zurückgeführt werden, jedenfalls im Bereich der Wiederaufnahmeverfahren, nicht von der problematischen «push-back»-Praxis betroffen sind (vgl. etwa Urteil des BVGer E-5787/2022 vom 19. Dezember 2022 E. 7.4 m.w.H.).</w:t>
      </w:r>
    </w:p>
    <w:p>
      <w:r>
        <w:rPr>
          <w:b/>
        </w:rPr>
        <w:t>E. 7.4</w:t>
      </w:r>
    </w:p>
    <w:p>
      <w:r>
        <w:t>Für eine Änderung der dargestellten Rechtsprechung besteht auch in Würdigung der vom Beschwerdeführer gemachten Äusserungen zu seiner Behandlung in Kroatien, der zitierten Berichte und des Verweises auf die Rechtsprechung deutscher Gerichte keine Veranlassung. Das Gleiche gilt für den in der Beschwerde angeführten Bericht der Wochenzeitung (WOZ) vom 22. Dezember 2022 ("Eine Kette der Verachtung") beziehungsweise ein in selbigem enthaltenes Zitat einer Aktivistin des Centre of Peace Studies (vgl. Urteil des BVGer D-272/2023 vom 8. Februar 2023 E. 7.1.1). Die Ergebnisse der genannten behördlichen Abklärungen (vorstehend E. 7.3) werden durch die unbelegte persönliche Aussage der Aktivistin nicht hinreichend in Zweifel gezogen. Unter diesen Umständen gelangt Art. 3 Abs. 2 Dublin-III-VO nicht zur Anwendung.</w:t>
      </w:r>
    </w:p>
    <w:p>
      <w:r>
        <w:rPr>
          <w:b/>
        </w:rPr>
        <w:t>E. 8.1</w:t>
      </w:r>
    </w:p>
    <w:p>
      <w:r>
        <w:t>Weiter ist zu prüfen, ob - wie vom Beschwerdeführer geltend gemacht - völkerrechtliche Vollzugshindernisse bestehen, woraus sich zwingende Gründe für einen Selbsteintritt nach Art. 17 Abs. 1 Dublin-III-VO ergeben würden.</w:t>
      </w:r>
    </w:p>
    <w:p>
      <w:r>
        <w:rPr>
          <w:b/>
        </w:rPr>
        <w:t>E. 8.2</w:t>
      </w:r>
    </w:p>
    <w:p>
      <w:r>
        <w:t>In Übereinstimmung mit der Vorinstanz ist festzuhalten, dass der Beschwerdeführer kein konkretes und ernsthaftes Risiko dargetan hat, die kroatischen Behörden würden sich weigern, ihn wiederaufzunehmen und seinen Antrag auf internationalen Schutz unter Einhaltung der Regeln der Verfahrensrichtlinie zu prüfen. Entgegen der Ansicht des Beschwerdeführers sind den Akten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Ausserdem hat der Beschwerdeführer nicht rechtsgenügend dargetan, die ihn bei einer Rückführung erwartenden Bedingungen in Kroatien seien derart schlecht, dass sie zu einer Verletzung von Art. 4 der EU-Grundrechtecharta, Art. 3 EMRK oder Art. 3 FoK führen könnten. Er hat auch keine konkreten Hinweise dargetan, wonach ihm Kroatien dauerhaft die minimalen Lebensbedingungen vorenthalten würde, die ihm gemäss Aufnahmerichtlinie zustehen. Bei einer allfälligen vorübergehenden Einschränkung wäre er nötigenfalls gehalten, sich an die dortigen Behörden zu wenden und die ihm zustehenden Aufnahmebedingungen auf dem Rechtsweg einzufordern (vgl. Art. 26 Aufnahmerichtlinie). Dies gilt auch in Bezug auf die geltend gemachte Gewalt und die rassistischen Kommentare seitens der kroatischen Behörden. Das Vorbringen schliesslich, gegen ihn sei in Kroatien ein willkürliches Strafverfahren eingeleitet worden, bleibt eine unsubstantiierte Behauptung, die kein anderes Ergebnis herbeiführen kann.</w:t>
      </w:r>
    </w:p>
    <w:p>
      <w:r>
        <w:rPr>
          <w:b/>
        </w:rPr>
        <w:t>E. 8.3</w:t>
      </w:r>
    </w:p>
    <w:p>
      <w:r>
        <w:t>Die im vorinstanzlichen Verfahren festgestellten gesundheitlichen Beeinträchtigungen in der Form von Schlafstörungen, Juckreiz und Schmerzen in den Oberschenkeln und im Rückenbereich wurden zum Teil behandelt. Sie stellen sich gesamthaft gesehen nicht als so schwerwiegend dar, dass die Gefahr einer Verletzung von Art. 3 EMRK bestünde (zu den Anforderungen vgl. BVGE 2011/9 E. 7 mit Hinweisen auf die damalige Praxis des Europäischen Gerichtshofs für Menschenrechte [EGMR] sowie zur neueren Praxis des EGMR das Urteil Paposhvili gegen Belgien vom 13. Dezember 2016, 41738/10, §§ 180-193 m.w.H.). Dasselbe gilt für die erstmals auf Beschwerdeebene vorgebrachten psychischen Probleme. Es ist darauf hinzuweisen, dass Kroatien grundsätzlich über eine ausreichende medizinische Infrastruktur verfügt (vgl. Urteil des BVGer D-735/2022 vom 28. Februar 2022 E. 6.7.3) und gemäss Art. 19 Abs. 1 und 2 Aufnahmerichtlinie verpflichtet ist, dem Beschwerdeführer bei Bedarf die notwendige medizinische Behandlung zukommen zu lassen. Sodann bestehen in Kroatien nebst den staatlichen Einrichtungen auch Angebote von Nichtregierungsorganisationen für die psychische Betreuung, womit von einem genügenden psychologischen Behandlungsangebot auszugehen ist (vgl. Urteil des BVGer F-4368/2020 vom 14. Januar 2021 E. 7.3 m.H.). Entgegen der in der Beschwerde vertretenen Ansicht liegen keine rechtsgenügend konkreten Hinweise vor, wonach Kroatien dem Beschwerdeführer eine adäquate medizinische Behandlung verweigert hätte oder verweigern würde. Etwas anderes ergibt sich auch nicht aus dem in der Beschwerde zitierten Bericht der Schweizerischen Flüchtlingshilfe, wonach der Zugang zu einer angemessenen Behandlung in Kroatien unter Umständen erschwert sein kann.</w:t>
      </w:r>
    </w:p>
    <w:p>
      <w:r>
        <w:rPr>
          <w:b/>
        </w:rPr>
        <w:t>E. 8.4</w:t>
      </w:r>
    </w:p>
    <w:p>
      <w:r>
        <w:t>Nach dem Gesagten ist die Überstellung nach Kroatien nach Massgabe der einschlägigen völkerrechtlichen Bestimmungen als zulässig zu qualifizieren, womit keine zwingenden Gründe für einen Selbsteintritt auf das Asylgesuch des Beschwerdeführers nach Art. 17 Abs. 1 Dublin-III-VO vorliegen.</w:t>
      </w:r>
    </w:p>
    <w:p>
      <w:r>
        <w:rPr>
          <w:b/>
        </w:rPr>
        <w:t>E. 9</w:t>
      </w:r>
    </w:p>
    <w:p>
      <w:r>
        <w:t>Soweit der Beschwerdeführer schliesslich die Anwendung des Selbsteintrittsrechts aus humanitären Gründen fordert, ist festzuhalten, dass der Vorinstanz bei der Anwendung von Art. 29a Abs. 3 AsylV 1 Ermessen zukommt (vgl. BVGE 2015/9 E. 7 f.). Den Akten sind keine Hinweise auf eine gesetzeswidrige Ermessensausübung (vgl. Art. 106 Abs. 1 Bst. a AsylG) zu entnehmen. Unter diesen Umständen enthält sich das Bundesverwaltungsgericht einer näheren Überprüfung.</w:t>
      </w:r>
    </w:p>
    <w:p>
      <w:r>
        <w:rPr>
          <w:b/>
        </w:rPr>
        <w:t>E. 10</w:t>
      </w:r>
    </w:p>
    <w:p>
      <w:r>
        <w:t>Die Vorinstanz ist somit zu Recht von der Zuständigkeit Kroatiens im Sinne von Art. 31a Abs. 1 Bst. b AsylG ausgegangen und in Anwendung jener Bestimmung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11</w:t>
      </w:r>
    </w:p>
    <w:p>
      <w:r>
        <w:t>Nachdem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12</w:t>
      </w:r>
    </w:p>
    <w:p>
      <w:r>
        <w:t>Die Beschwerde ist nach dem Ausgeführten abzuweisen und die Verfügung der Vorinstanz zu bestätigen. Das Beschwerdeverfahren ist mit vorliegendem Urteil abgeschlossen, weshalb sich der Antrag auf Gewährung der aufschiebenden Wirkung als gegenstandslos erweist.</w:t>
      </w:r>
    </w:p>
    <w:p>
      <w:r>
        <w:rPr>
          <w:b/>
        </w:rPr>
        <w:t>E. 13.1</w:t>
      </w:r>
    </w:p>
    <w:p>
      <w:r>
        <w:t>Der Beschwerdeführer beantragt die Gewährung der unentgeltlichen Rechtspflege (Art. 65 Abs. 1 VwVG, Art. 102m AsylG). Aufgrund der vorstehenden Erwägungen ergibt sich, dass seine Begehren als aussichtslos zu gelten haben. Das Gesuch ist ungeachtet der geltend gemachten Mittellosigkeit abzuweisen.</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