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F-1155/2023 vom 6. März 2023</w:t>
      </w:r>
    </w:p>
    <w:p>
      <w:r>
        <w:t>Bundesverwaltungsgericht, 2023-03-06, DE</w:t>
      </w:r>
    </w:p>
    <w:p>
      <w:r>
        <w:rPr>
          <w:b/>
        </w:rPr>
        <w:t xml:space="preserve">Quelle: </w:t>
      </w:r>
      <w:r>
        <w:t>https://mcp.opencaselaw.ch/entscheid/bvger_F-1155_2023</w:t>
      </w:r>
    </w:p>
    <w:p>
      <w:r>
        <w:t>FR: TAF F-1155/2023 du 6 mars 2023</w:t>
      </w:r>
    </w:p>
    <w:p>
      <w:r>
        <w:t>IT: TAF F-1155/2023 del 6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über diese in der Regel - wie auch vorliegend - endgültig (vgl.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zur Beschwerdeführung legitimiert (Art. 48 Abs. 1 VwVG). Auf die frist- und formgerecht eingereichte Beschwerde ist einzutreten (Art. 108 Abs. 3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Im Beschwerdeverfahren ist die Sprache des angefochtenen Entscheids massgebend. Verwenden die Parteien eine andere Amtssprache, so kann das Verfahren in dieser Sprache geführt werde (Art. 33a Abs. 2 VwVG).</w:t>
      </w:r>
    </w:p>
    <w:p>
      <w:r>
        <w:rPr>
          <w:b/>
        </w:rPr>
        <w:t>E. 4.2</w:t>
      </w:r>
    </w:p>
    <w:p>
      <w:r>
        <w:t>In casu wurde die angefochtene Verfügung auf Italienisch verfasst, während die Beschwerdeschrift in deutscher Sprache eingereicht wurde. Implizit scheint die Beschwerdeführerin somit einen Wechsel der Verfahrenssprache zu beantragen. Diesem Antrag ist stattzugeben.</w:t>
      </w:r>
    </w:p>
    <w:p>
      <w:r>
        <w:rPr>
          <w:b/>
        </w:rPr>
        <w:t>E. 5.1</w:t>
      </w:r>
    </w:p>
    <w:p>
      <w:r>
        <w:t>In verfahrensrechtlicher Hinsicht rügt die Beschwerdeführerin eine unvollständige beziehungsweise unrichtige Abklärung des rechtserheblichen Sachverhaltes sowie sinngemäss eine Verletzung des Untersuchungsgrundsatzes durch die Vorinstanz. Im Wesentlichen macht sie geltend, die Vorinstanz verletzte ihren Anspruch auf Begründung des Entscheids, indem sie mittels nicht nachvollziehbaren, allgemeinen Ausführungen ihre konkrete Situation nicht hinreichend gewürdigt habe. Zudem habe die Vorinstanz die Frage des Selbsteintritts mit textbausteinartigen, gehaltlosen Formulierungen verneint und sei somit der Pflicht zur Ermessensausübung nicht nachgekommen. Des Weiteren verweise die Vorinstanz auf die allgemeinen vertraglichen Verpflichtungen von Kroatien, ohne hinreichend zu berücksichtigen, dass in der Praxis grundlegende Garantien gerade nicht gegeben seien. Es sei insbesondere nicht nachvollziehbar, gestützt auf welche Angaben die Vorinstanz davon ausgehe, dass keine systematischen Mängel in Kroatien vorhanden seien. Insbesondere seien die im Nichteintretensentscheid zitierten Botschaftsabklärungen nicht in den Akten vorhanden. Zudem rügt die Beschwerdeführerin, dass der medizinische Sachverhalt nicht genügend abgeklärt worden sei. Sie macht geltend, die Vorinstanz habe dem Zweittermin bei Medic Help vom 20. Februar 2023 nicht Rechnung getragen. Die Vorinstanz habe trotz der Tatsache, dass der medizinische Sachverhalt im Hinblick auf die psychische Verfassung der Beschwerdeführerin noch nicht genügend eruiert worden sei, und ohne Erkundigung bei Medic Help den Nichteintretensentscheid erlassen. Damit sei das rechtliche Gehör der Beschwerdeführerin verletzt worden.</w:t>
      </w:r>
    </w:p>
    <w:p>
      <w:r>
        <w:rPr>
          <w:b/>
        </w:rPr>
        <w:t>E. 5.2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Art. 12 N. 16). Ihre Grenze findet die Untersuchungspflicht in der Mitwirkungspflicht der Asylsuchenden (vgl. Art. 8 AsylG).</w:t>
      </w:r>
    </w:p>
    <w:p>
      <w:r>
        <w:rPr>
          <w:b/>
        </w:rPr>
        <w:t>E. 5.3</w:t>
      </w:r>
    </w:p>
    <w:p>
      <w:r>
        <w:t>Die Vorinstanz hat sich in ihrer Verfügung vom 16. Februar 2023 mit dem Asylverfahren und den Aufnahmebedingungen für Asylsuchende in Kroatien auseinandergesetzt und auch die diesbezügliche Kritik von nationalen und internationalen Organisationen berücksichtigt. Sie hat einlässlich dargelegt, aufgrund welcher Informationen sie zum Schluss gelangt ist, dass Dublin-Rückkehrende in Kroatien nicht von der Push-Back-Problematik betroffen seien und ihnen keine Kettenabschiebung drohe. Die Vorin-stanz hat die vorgetragenen Erlebnisse der Beschwerdeführerin in die Entscheidfindung einfliessen lassen und eine Einzelfallprüfung vorgenommen. Angesichts dessen, dass die Beschwerdeführerin hinsichtlich der behaupteten Verfehlungen der kroatischen Behörden keinerlei Belege vorgelegt hat, waren diesbezüglich keine weitergehenden Abklärungen angezeigt. Ob die Beweiswürdigung sowie die Lageeinschätzung der Vorinstanz zutreffend sind, betrifft nicht das rechtliche Gehör, sondern ist eine Frage der rechtlichen Würdigung der Sache. Insoweit geltend gemacht wird, die Ergebnisse der Abklärungen, welche die Botschaft in Kroatien vornahm, lägen dem Entscheid weder bei noch hätten sie Eingang ins Aktenverzeichnis gefunden, ist festzuhalten, dass die Vorinstanz die Erkenntnisse aus den Abklärungen zu den Push-backs und zu Dublin-Rückkehrern in der angefochtenen Verfügung in zusammengefasster Form wiedergab. Da im vorliegenden Verfahren keine individuelle Botschaftsabklärung durchgeführt wurde, sind in den vorinstanzlichen Akten keine entsprechenden Aktenstücke vorhanden, in die Einsicht hätte gewährt werden müssen. Die Vorinstanz bezog sich in ihren Erwägungen auf bereits getätigte Abklärungen der Botschaft, die in Nachachtung des Referenzurteils des Bundesverwaltungsgerichts E-3078/2019 vom 12. Juli 2019 vorgenommen wurden. Damit liegt keine Verletzung des Akteneinsichtsrechts vor (vgl. Urteile des BVGer D 4163/2022 vom 2. Februar 2023 E. 7.2, E-5984/2022 vom 3. Januar 2023 E. 4.3, F-4542/2022 vom 11. November 2022 E. 4.1). Auch eine Verletzung der Begründungspflicht im Zusammenhang mit den Botschaftsabklärungen ist nach dem Gesagten nicht ersichtlich. Auf die Rüge der ungenügenden Abklärung des medizinischen Sachverhalts wird sogleich noch zurückzukommen sein (vgl. unten E. 9.3.1).</w:t>
      </w:r>
    </w:p>
    <w:p>
      <w:r>
        <w:rPr>
          <w:b/>
        </w:rPr>
        <w:t>E. 5.4</w:t>
      </w:r>
    </w:p>
    <w:p>
      <w:r>
        <w:t>Die formellen Rügen erweisen sich als unbegründet. Es besteht keine Veranlassung, die angefochtene Verfügung aufzuheben und die Sache an die Vorinstanz zurückzuweisen. Das entsprechende Begehren ist abzuweisen.</w:t>
      </w:r>
    </w:p>
    <w:p>
      <w:r>
        <w:rPr>
          <w:b/>
        </w:rPr>
        <w:t>E. 6.1</w:t>
      </w:r>
    </w:p>
    <w:p>
      <w:r>
        <w:t>Auf ein Asylgesuch wird in der Regel nicht eingetreten, wenn der oder 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2019 VI/7 E. 4-6; 2017 VI/5 E. 6.2 und 8.2.1).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6.3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 der Weiterreise eines Antragstellers in einen anderen Mitgliedstaat bei noch nicht abgeschlossenem Zuständigkeitsverfahren Anwendung (vgl. Filzwieser/ Sprung, Dublin-III-Verordnung, 2014, K. 19 zu Art. 20).</w:t>
      </w:r>
    </w:p>
    <w:p>
      <w:r>
        <w:rPr>
          <w:b/>
        </w:rPr>
        <w:t>E. 6.4</w:t>
      </w:r>
    </w:p>
    <w:p>
      <w:r>
        <w:t>Vorliegend ergab ein Abgleich der Fingerabdrücke der Beschwerdeführerin, dass sie am 23. Dezember 2022 in Kroatien daktyloskopisch erfasst wurde. Gleichentags hatte sie gemäss Auszug aus der «Eurodac»-Datenbank ein Asylgesuch gestellt. Die kroatischen Behörden stimmten dem Wiederaufnahmeersuchen der Vorinstanz gestützt auf Art. 20 Abs. 5 Dublin-III-VO zu und wiesen darauf hin, dass das Zuständigkeitsverfahren von ihnen fortgeführt werde. Somit sind sowohl die Antragsstellung in Kroatien als auch der Umstand, dass das kroatische Verfahren zur Bestimmung des für das Asylgesuch der Beschwerdeführerin zuständigen Mitgliedstaats gemäss Art. 20 Abs. 5 Dublin-III-VO noch nicht abgeschlossen wurde und nach einer Rücküberstellung der Beschwerdeführerin fortgesetzt wird, als erstellt zu betrachten (vgl. Urteil des BVGer F-638/2023 vom 23. Februar 2023 E. 5.4). Die Zuständigkeit Kroatiens ist somit grundsätzlich gegeben.</w:t>
      </w:r>
    </w:p>
    <w:p>
      <w:r>
        <w:rPr>
          <w:b/>
        </w:rPr>
        <w:t>E. 7</w:t>
      </w:r>
    </w:p>
    <w:p>
      <w:r>
        <w:t>Die Beschwerdeführerin macht im Wesentlichen geltend, dass nicht sichergestellt sei, dass sie in Kroatien tatsächlich ein Asylverfahren durchlaufen werden könne. Sie führt aus, dass bei einer Rückweisung nach Kroatien die Gefahr der Kettenabschiebung nach Russland bestehe. Ihr sei in Kroatien von einem Polizisten der Grenzwache mitgeteilt worden, dass Tschetschenen nach Russland zurückgebracht werden würden. Des Weiteren weist die Beschwerdeführerin auf die schlechten Bedingungen und Behandlungen sowie die menschenunwürdigen Aufnahmebedingungen in Kroatien hin. Zudem würden erhebliche Zweifel am Zugang zur medizinischen Grundversorgung in Kroatien bestehen; insbesondere bei psychischen Problemen sei nur eine eingeschränkte Unterstützung verfügbar. Vorliegend sei aktenkundig, dass sie eine ambulante Therapie benötige, sobald sie einen festen Wohnsitz habe. Die Dringlichkeit einer psychiatrischen Behandlung werde durch ihre Drohung, sich bei einer Rückführung nach Kroatien das Leben zu nehmen, akzentuiert. Insgesamt hätte die Vorinstanz Garantien seitens der kroatischen Behörden hinsichtlich des Zugangs zum Asylverfahren, der vertieften und diskriminierungsfreien Prüfung ihrer Asylgründe sowie dem Zugang zu einer psychologischen Behandlung einholen müssen.</w:t>
      </w:r>
    </w:p>
    <w:p>
      <w:r>
        <w:rPr>
          <w:b/>
        </w:rPr>
        <w:t>E. 8.1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8.2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Es ist grundsätzlich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8.3</w:t>
      </w:r>
    </w:p>
    <w:p>
      <w:r>
        <w:t>Gemäss Praxis des Bundesverwaltungsgerichts im Bereich der Wiederaufnahmeverfahren liegen zum heutigen Zeitpunkt keine Gründe für die Annahme vor, das Asylverfahren (inklusive Zuständigkeitsverfahren) und die Aufnahmebedingungen für Antragstellende in Kroatien würden systemische Schwachstellen im Sinne von Art. 3 Abs. 2 Sätze 2 und 3 Dublin-III-VO aufweisen (vgl. dazu beispielsweise die Urteile des BVGer F-69/2023 vom 25. Januar 2023 E. 5.1; F-23/2023 vom 10. Januar 2023 E. 6.3; F-3426/2022 vom 20. Dezember 2022 E. 5.5; F-5543/2022 vom 7. Dezember 2022 E. 4.2). Für eine Änderung der Rechtsprechung besteht auch in Würdigung der von der Beschwerdeführerin gemachten Äusserungen zu ihrer Behandlung in Kroatien und der auf Beschwerdeebene zitierten Berichte keine Veranlassung. Unter diesen Umständen ist die Anwendung von Art. 3 Abs. 2 Dublin-III-VO nicht gerechtfertigt.</w:t>
      </w:r>
    </w:p>
    <w:p>
      <w:r>
        <w:rPr>
          <w:b/>
        </w:rPr>
        <w:t>E. 9.1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9.2</w:t>
      </w:r>
    </w:p>
    <w:p>
      <w:r>
        <w:t>Das Bundesverwaltungsgericht bestreitet nicht, dass der Empfang und die Aufnahmebedingungen für Asylsuchende in Kroatien problematisch sein können. Die Beschwerdeführerin hat indessen - bereits angesichts der expliziten Zusicherung der Wiederaufnahme durch Kroatien - kein konkretes und ernsthaftes Risiko dargetan, die kroatischen Behörden würden sich weigern, sie wieder aufzunehmen und ihren Antrag auf internationalen Schutz unter Einhaltung der Regeln der Verfahrensrichtlinie zu prüfen. Auch ihre Vorbringen zu der besonderen Gefährdung von tschetschenischen Asylsuchenden in Kroatien ergehen einzig gestützt auf allgemeine Hinweise.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hat die Beschwerdeführerin nicht dargetan, die sie bei einer Rückführung erwartenden Bedingungen in Kroatien seien derart schlecht, dass sie zu einer Verletzung von Art. 4 der EU-Grundrechtecharta, Art. 3 EMRK, Art. 1 oder Art. 3 FoK führen könnten. Die Beschwerdeführerin hat auch keine konkreten Hinweise für die Annahme dargetan, Kroatien würde ihr dauerhaft die ihr gemäss Aufnahmerichtlinie zustehenden minimalen Lebensbedingungen vorenthalten. Bei einer allfälligen vorübergehenden Einschränkung könnte sie sich im Übrigen nötigenfalls an die dortigen Behörden wenden und die ihr zustehenden Aufnahmebedingungen auf dem Rechtsweg einfordern (vgl. Art. 26 Aufnahmerichtlinie). Es besteht somit auch kein Grund, bei den kroatischen Behörden individuelle Garantien einzuholen.</w:t>
      </w:r>
    </w:p>
    <w:p>
      <w:r>
        <w:rPr>
          <w:b/>
        </w:rPr>
        <w:t>E. 9.3</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9.3.1</w:t>
      </w:r>
    </w:p>
    <w:p>
      <w:r>
        <w:t>Die Beschwerdeführerin hat sich am 13. Januar 2023 erstmals ärztlich untersuchen lassen (vgl. Arztbericht Medic Help Chiasso vom 13. Januar 2023, Akten der Vorinstanz [SEM-act.] 14). Soweit auf Beschwerdeebene geltend gemacht wird, die Vorinstanz habe den medi-zinischen Sachverhalt in unzureichender Weise gewürdigt, ist zunächst festzustellen, dass die Vorinstanz sich in der angefochtenen Verfügung mit dem Arztbericht vom 13. Januar 2023 eingehend auseinandergesetzt hat. Der Arztbericht vom 20. Februar 2023 konnte sodann keinen Eingang in die Erwägungen der Verfügung vom 16. Februar 2023 finden. Angesichts des ärztlichen Befunds vom 13. Januar 2023 bestand für die Vorinstanz ferner keine Veranlassung, potentielle Folgetermine abzuwarten. Der medizinische Sachverhalt erweist sich vor diesem Hintergrund mit Blick auf eine mögliche Verletzung von Art. 3 EMRK als hinreichend abgeklärt. Eine Rückweisung der Sache an die Vorinstanz ist auch in dieser Hinsicht nicht angezeigt.</w:t>
      </w:r>
    </w:p>
    <w:p>
      <w:r>
        <w:rPr>
          <w:b/>
        </w:rPr>
        <w:t>E. 9.3.2</w:t>
      </w:r>
    </w:p>
    <w:p>
      <w:r>
        <w:t>Anlässlich des Arzttermins vom 13. Januar 2023 wurde bei der Beschwerdeführerin eine Angststörung mit depressiver Verstimmung sowie Schlaflosigkeit festgestellt. Der Beschwerdeführerin wurden Trittico und Escitalopram als Anti-Depressiva verschrieben. Am 7. Februar 2023 wurde ihr anlässlich eines Arzttermins ein kariöser Zahn entfernt (vgl. Arztbericht Medic Help Chiasso vom 7. Februar 2023, Akten der Vorinstanz [SEM-act.] 27). Am 20. Februar 2023 suchte die Beschwerdeführerin erneut den Arzt von Medic Help auf (vgl. Arztbericht Medic Help Chiasso vom 20. Februar 2023, Akten der Vorinstanz [SEM-act.] 34). Aufgrund der indizierten Verarbeitungsstörung mit psychischer Traumatisation wurde die Beschwerdeführerin bei der C._______ Psychiatrie zur medikamentösen Einstellung und zu Gesprächen angemeldet. Die Beschwerdeführerin hat gegenüber der Rechtsvertretung gedroht, sich bei einer Rückführung nach Kroatien das Leben zu nehmen.</w:t>
      </w:r>
    </w:p>
    <w:p>
      <w:r>
        <w:rPr>
          <w:b/>
        </w:rPr>
        <w:t>E. 9.3.3</w:t>
      </w:r>
    </w:p>
    <w:p>
      <w:r>
        <w:t>Die dargestellten Befunde sind nicht zu verharmlosen, stellen allerdings keine gravierenden Erkrankungen dar und können in Kroatien (weiter) behandelt werden. Eine allfällige Suizidalität stellt zudem praxisgemäss kein Überstellungshindernis dar (vgl. BGE 139 II 393 E. 5.5.5 sowie Urteil des BVGer F-4782/2022 vom 23. Februar 2022 E. 8.3.5). Ihr ist im Rahmen des Wegweisungsvollzugs Rechnung zu tragen (vgl. Urteile des BVGer F-1518/2022 vom 5. Mai 2022 E. 7.8 m.w.H.; Urteil des EGMR A.S. gegen die Schweiz vom 30. September 2015, 39350/13, § 34). Die gesundheitlichen Beeinträchtigungen stehen einer Überstellung nach Kroatien im vorliegenden Fall nicht entgegen.</w:t>
      </w:r>
    </w:p>
    <w:p>
      <w:r>
        <w:rPr>
          <w:b/>
        </w:rPr>
        <w:t>E. 9.3.4</w:t>
      </w:r>
    </w:p>
    <w:p>
      <w:r>
        <w:t>Im Übrigen ist darauf hinzuweisen, dass Kroatien grundsätzlich über eine ausreichende medizinische Infrastruktur verfügt (Urteil des BVGer D-735/2022 vom 28. Februar 2022 E. 6.7.3). Die Mitgliedstaten sind verpflichtet, Antragstellenden die erforderliche medizinische Versorgung, die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 des BVGer F-4368/2020 vom 14. Januar 2021 E. 7.3 m.H.). In dieser Hinsicht vermag auch der auf Beschwerdeebene zitierte Bericht zu keiner anderen Einschätzung der Situation der Beschwerdeführerin in Kroatien zu führen. Es liegen damit keine Hinweise vor, wonach Kroatien seinen Verpflichtungen im Rahmen der Dublin-III-VO in medizinischer Hinsicht nicht nachkommen würde.</w:t>
      </w:r>
    </w:p>
    <w:p>
      <w:r>
        <w:rPr>
          <w:b/>
        </w:rPr>
        <w:t>E. 9.3.5</w:t>
      </w:r>
    </w:p>
    <w:p>
      <w:r>
        <w:t>Gesamthaft betrachtet liegen keine hinreichenden Anhaltspunkte dafür vor, dass die Gesundheit der Beschwerdeführerin bei einer Überstellung nach Kroatien ernsthaft gefährdet würde. Aufgrund des derzeitigen Erkenntnisstandes ist es im Übrigen nicht angezeigt, die Vorinstanz dazu zu verpflichten, bei den kroatischen Behörden individuelle Garantien hinsichtlich Unterbringung und Zugang zu medizinischer Behandlung einzuholen (vgl. etwa Urteil des BVGer Urteil E-4341/2022 E. 7.3.5). Die schweizerischen Behörden, die mit dem Vollzug der angefochtenen Verfügung beauftragt sind, werden dem aktuellen Gesundheitszustand der Beschwerdeführerin bei der Organisation der Überstellung nach Kroatien Rechnung tragen, indem sie die dortigen Behörden im Sinne von Art. 31 und Art. 32 Dublin-III-VO vorgängig über den aktuellen Gesundheitszustand und die allenfalls notwendige medizinische Behandlung informieren werden.</w:t>
      </w:r>
    </w:p>
    <w:p>
      <w:r>
        <w:rPr>
          <w:b/>
        </w:rPr>
        <w:t>E. 9.4</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 gesetzeswidrige Ermessensausübung durch die Vorinstanz zu entnehmen und es kann insbesondere nicht - wie in der Beschwerde vorgebracht - von einer Ermessensunterschreitung ausgegangen werden. Für die beantragte Rückweisung der Sache an die Vorinstanz besteht kein Anlass; das Gericht enthält sich deshalb in diesem Zusammenhang weiterer Äusserungen. Zusammenfassend liegt kein Grund für die Anwendung der Ermessensklausel von Art. 17 Dublin-III-VO beziehungswiese Art. 29a Abs. 3 AsylV 1 vor. Weder ist die Schweiz völkerrechtlich verpflichtet, auf das Asylgesuch einzutreten, noch liegen humanitäre Gründe vor, welche einen Selbsteintritt nahelegen würden.</w:t>
      </w:r>
    </w:p>
    <w:p>
      <w:r>
        <w:rPr>
          <w:b/>
        </w:rPr>
        <w:t>E. 9.5</w:t>
      </w:r>
    </w:p>
    <w:p>
      <w:r>
        <w:t>Die Vorinstanz ist demnach zu Recht in Anwendung von Art. 31a Abs. 1 Bst. b AsylG auf das Asylgesuch der Beschwerdeführerin nicht eingetreten und hat die Überstellung nach Kroatien angeordnet. Die Beschwerde ist abzuweisen.</w:t>
      </w:r>
    </w:p>
    <w:p>
      <w:r>
        <w:rPr>
          <w:b/>
        </w:rPr>
        <w:t>E. 10</w:t>
      </w:r>
    </w:p>
    <w:p>
      <w:r>
        <w:t>Der am 1. März 2023 verfügte Vollzugsstopp fällt mit dem vorliegenden Urteil dahin. Mit dem Entscheid in der Hauptsache ist sodann das Gesuch um Erteilung der aufschiebenden Wirkung hinfällig geworden.</w:t>
      </w:r>
    </w:p>
    <w:p>
      <w:r>
        <w:rPr>
          <w:b/>
        </w:rPr>
        <w:t>E. 11.1</w:t>
      </w:r>
    </w:p>
    <w:p>
      <w:r>
        <w:t>Das mit der Beschwerde gestellte Gesuch um Gewährung der unentgeltlichen Prozessführung ist abzuweisen, da die Begehren - wie sich aus den vorstehenden Erwägungen ergibt - als aussichtslos zu bezeichnen waren. Die Voraussetzungen von Art. 65 Abs. 1 VwVG sind nicht gegeben.</w:t>
      </w:r>
    </w:p>
    <w:p>
      <w:r>
        <w:rPr>
          <w:b/>
        </w:rPr>
        <w:t>E. 11.2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