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F-1124/2025 vom 5. März 2025</w:t>
      </w:r>
    </w:p>
    <w:p>
      <w:r>
        <w:t>Bundesverwaltungsgericht, 2025-03-05, DE</w:t>
      </w:r>
    </w:p>
    <w:p>
      <w:r>
        <w:rPr>
          <w:b/>
        </w:rPr>
        <w:t xml:space="preserve">Quelle: </w:t>
      </w:r>
      <w:r>
        <w:t>https://mcp.opencaselaw.ch/entscheid/bvger_F-1124_2025</w:t>
      </w:r>
    </w:p>
    <w:p>
      <w:r>
        <w:t>FR: TAF F-1124/2025 du 5 mars 2025</w:t>
      </w:r>
    </w:p>
    <w:p>
      <w:r>
        <w:t>IT: TAF F-1124/2025 del 5 marzo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Österreich für die Weiterführung des Asylverfahrens des Beschwerdeführers zuständig ist, dass das österreichische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des Beschwerdeführers im Hinblick auf seine gesundheitlichen Beeinträchtigungen (gemäss Arztbericht des B._______ vom 27. Januar 2025 Verdacht auf schizophrene Psychose) sowie die Suizidalität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Österreich angeordnet. Zur näheren Begründung wird auf die Erwägungen der Vorinstanz verwiesen.</w:t>
      </w:r>
    </w:p>
    <w:p>
      <w:r>
        <w:rPr>
          <w:b/>
        </w:rPr>
        <w:t>E. 2.2</w:t>
      </w:r>
    </w:p>
    <w:p>
      <w:r>
        <w:t>Die formelle Rüge des Beschwerdeführers - wonach die Vorinstanz den Untersuchungsgrundsatz verletzt habe, indem sie die Verfügung erlassen habe, ohne die Ergebnisse der psychiatrischen Abklärung abzuwarten - erweist sich als unbegründet. Die Vorinstanz hält in der angefochtenen Verfügung richtigerweise fest, dass in casu auch bei Vorliegen einer paranoiden Schizophrenie die hohe Schwelle für eine drohende Verletzung von Art. 3 EMRK nicht überschritten würde, da Österreich gemäss der Rückführungsrichtlinie verpflichtet ist, dem Beschwerdeführer die erforderlichen medizinische Versorgung zu gewähren (vgl. dazu auch BVGE 2011/9 E. 7 m.w.H.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ausnahmsweise einen Verstoss gegen Art. 3 EMRK darstellen können). Sie durfte entsprechend in antizipierter Beweiswürdigung davon ausgehen, dass aus den weiteren psychiatrischen Abklärungen keine neuen, entscheidwesentlichen Erkenntnisse zu erwarten waren, und musste diese nicht abzuwarten. Österreich verfügt zudem über die medizinische Infrastruktur, welche zur Behandlung einer paranoiden Schizophrenie ärztlich erforderlich ist. Die Vorinstanz hat ihren Entscheid auf einen genügend abgeklärten Sachverhalt gestützt, weshalb keine Veranlassung besteht, die angefochtene Verfügung zu kassieren.</w:t>
      </w:r>
    </w:p>
    <w:p>
      <w:r>
        <w:rPr>
          <w:b/>
        </w:rPr>
        <w:t>E. 2.3</w:t>
      </w:r>
    </w:p>
    <w:p>
      <w:r>
        <w:t>Der nunmehr vorliegende Arztbericht von Dr. med. C._______ vom 19. Februar 2025, welcher beim Beschwerdeführer eine paranoide Schizophrenie diagnostiziert, vermag in materieller Hinsicht nichts an der Richtigkeit der angefochtenen Verfügung zu ändern, zumal das SEM in der angefochtenen Verfügung bereits zugesichert hat, dass die notwendige medizinische Behandlung den österreichischen Behörden vor der Überstellung mitgeteilt werde.</w:t>
      </w:r>
    </w:p>
    <w:p>
      <w:r>
        <w:rPr>
          <w:b/>
        </w:rPr>
        <w:t>E. 3</w:t>
      </w:r>
    </w:p>
    <w:p>
      <w:r>
        <w:t>Nach dem Gesagten ist die angefochtene Verfügung vom 12. Februar 2025 nicht zu beanstanden und die Beschwerde ist abzuweisen.</w:t>
      </w:r>
    </w:p>
    <w:p>
      <w:r>
        <w:rPr>
          <w:b/>
        </w:rPr>
        <w:t>E. 4</w:t>
      </w:r>
    </w:p>
    <w:p>
      <w:r>
        <w:t>Mit vorliegendem Urteil fällt der am 21. Februar 2025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