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F-1112/2023 vom 24. Januar 2023</w:t>
      </w:r>
    </w:p>
    <w:p>
      <w:r>
        <w:t>Bundesverwaltungsgericht, 2023-01-24, DE</w:t>
      </w:r>
    </w:p>
    <w:p>
      <w:r>
        <w:rPr>
          <w:b/>
        </w:rPr>
        <w:t xml:space="preserve">Quelle: </w:t>
      </w:r>
      <w:r>
        <w:t>https://mcp.opencaselaw.ch/entscheid/bvger_F-1112_2023_d20230124</w:t>
      </w:r>
    </w:p>
    <w:p>
      <w:r>
        <w:t>FR: TAF F-1112/2023 du 24 janvier 2023</w:t>
      </w:r>
    </w:p>
    <w:p>
      <w:r>
        <w:t>IT: TAF F-1112/2023 del 24 gennaio 2023</w:t>
      </w:r>
    </w:p>
    <w:p>
      <w:pPr>
        <w:pStyle w:val="Heading2"/>
      </w:pPr>
      <w:r>
        <w:t>Regeste</w:t>
      </w:r>
    </w:p>
    <w:p>
      <w:r>
        <w:t>Schengen-Visum | Schengen-Visum zu Besuchszwecken; Verfügung des SEM vom 24. Januar 2023</w:t>
      </w:r>
    </w:p>
    <w:p>
      <w:pPr>
        <w:pStyle w:val="Heading2"/>
      </w:pPr>
      <w:r>
        <w:t>Erwägungen</w:t>
      </w:r>
    </w:p>
    <w:p>
      <w:r>
        <w:rPr>
          <w:b/>
        </w:rPr>
        <w:t>E. 1.1</w:t>
      </w:r>
    </w:p>
    <w:p>
      <w:r>
        <w:t>Von der Vorinstanz erlassene Einspracheentscheide bezüglich Schen- gen-Visa sind mit Beschwerde beim Bundesverwaltungsgericht anfechtbar (vgl. Art. 112 Abs. 1 AIG [SR 142.20] i.V.m. Art. 31 ff. VGG). Das Rechts- mittelverfahren richtet sich nach dem VwVG, soweit das VGG nichts ande- res bestimmt (vgl. Art. 37 VGG).</w:t>
      </w:r>
    </w:p>
    <w:p>
      <w:r>
        <w:rPr>
          <w:b/>
        </w:rPr>
        <w:t>E. 1.2</w:t>
      </w:r>
    </w:p>
    <w:p>
      <w:r>
        <w:t>Der Beschwerdeführer hat am vorangegangenen Einspracheverfahren teilgenommen und ist als Gastgeber der Gesuchstellenden durch den an- gefochtenen Entscheid besonders berührt. Obwohl der ursprünglich ange- strebte Besuchszeitraum inzwischen abgelaufen ist, kann auf ein fortbe- stehendes Rechtsschutzinteresse geschlossen werden. Der Beschwerde- führer ist daher zur Erhebung des Rechtsmittels legitimiert (Art. 48 Abs. 1 VwVG). Auf die im Übrigen frist- und formgerecht eingereichte Beschwerde ist einzutreten (vgl.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2014/1 E. 2).</w:t>
      </w:r>
    </w:p>
    <w:p>
      <w:r>
        <w:rPr>
          <w:b/>
        </w:rPr>
        <w:t>E. 3.1</w:t>
      </w:r>
    </w:p>
    <w:p>
      <w:r>
        <w:t>Dem angefochtenen Entscheid liegen Gesuche von sri-lankischen Staatsangehörigen um Erteilung von Visa zu Besuchszwecken in der Schweiz zugrunde. Da sich die Gesuchstellenden nicht auf die EU/EFTA- Personenfreizügigkeitsabkommen berufen können und die beabsichtigte Aufenthaltsdauer 90 Tage nicht überschreitet, fällt die vorliegende Streitsa- che in den Anwendungsbereich der Schengen-Assoziierungsabkommen, mit denen die Schweiz den Schengen-Besitzstand und die dazugehörigen gemeinschaftsrechtlichen Rechtsakte übernahm (BVGE 2014/1 E. 3; 2011/48 E. 3). Das AIG und dessen Ausführungsbestimmungen gelangen</w:t>
      </w:r>
    </w:p>
    <w:p>
      <w:r>
        <w:t>F-1112/2023 Seite 4 nur soweit zur Anwendung, als die Schengen-Assoziierungsabkommen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verpflichtet, ausländischen Personen die Einreise zu gestatten und entscheidet darüber, vorbehältlich völkerrechtlicher Ver- pflichtungen, autonom (vgl. BGE 135 II 1 E. 1.1; BVGE 2009/27 E. 3).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Namentlich haben sie in diesem Zusammenhang zu belegen, dass sie den Schengen-Raum vor Ablauf des bewilligungsfreien Aufenthaltes verlassen, beziehungsweise ausreichende Gewähr für eine fristgerechte Wiederaus- reise zu bieten. Des Weiteren dürfen Drittstaatsangehörige nicht im Schen- gener Informationssystem (SIS) zur Einreiseverweigerung ausgeschrieben sein und keine Gefahr für die öffentliche Ordnung, die innere Sicherheit, die öffentliche Gesundheit oder die internationalen Beziehungen eines Mit- gliedstaats darstellen (vgl. zum Ganzen: Art. 5 Abs. 1 und 2 AIG; Art. 3 Abs. 1 der Verordnung vom 15. August 2018 über die Einreise und die Vi- sumerteilung [VEV, SR 142.204] i.V.m. Art. 6 Abs. 1 und 2 der Verordnung [EG] Nr. 2016/399 des Europäischen Parlaments und des Rates vom 9. März 2016 [kodifizierter Text] über einen Gemeinschaftskodex für das Überschreiten der Grenzen durch Personen [Schengener Grenzkodex,</w:t>
      </w:r>
    </w:p>
    <w:p>
      <w:r>
        <w:t>F-1112/2023 Seite 5 SGK, ABl. L 77/1 vom 23.03.2016]; Art. 14 Abs. 1 und Art. 21 Abs. 1 der Verordnung [EG] Nr. 810/2009 des Europäischen Parlaments und des Ra- tes vom 13. Juli 2009 über einen Visakodex der Gemeinschaft [Visakodex, VK, Abl. L 243/1 vom 15.09.2009]).</w:t>
      </w:r>
    </w:p>
    <w:p>
      <w:r>
        <w:rPr>
          <w:b/>
        </w:rPr>
        <w:t>E. 3.4</w:t>
      </w:r>
    </w:p>
    <w:p>
      <w:r>
        <w:t>Eine Gefahr für die öffentliche Ordnung im Sinne von Art. 6 Abs. 1 Bst. e SGK ist auch dann anzunehmen, wenn die drittstaatsangehörige Person nicht bereit ist, das Hoheitsgebiet des Schengen-Raums fristge- recht wieder zu verlassen (BVGE 2014/1 E. 4.3 m.H.). Die Behörden haben daher zu prüfen und die drittstaatsangehörige Person hat zu belegen, dass keine Gefahr einer rechtswidrigen Einwanderung oder einer nicht fristge- rechten Ausreise besteht (Art. 14 Abs. 1 Bst. d und Art. 21 Abs. 1 VK). Be- stehen Zweifel daran, dass die gesuchstellende Person das Hoheitsgebiet der Mitgliedstaaten fristgerecht wieder verlässt, so ist das Visum zu ver- weigern (Art. 32 Abs. 1 Bst. b VK). Den Behörden kommt bei der Beurtei- lung, ob die Voraussetzungen für die Visumserteilung erfüllt sind, ein weiter Beurteilungsspielraum zu (BVGE 2014/1 E. 4.1.5).</w:t>
      </w:r>
    </w:p>
    <w:p>
      <w:r>
        <w:rPr>
          <w:b/>
        </w:rPr>
        <w:t>E. 3.5</w:t>
      </w:r>
    </w:p>
    <w:p>
      <w:r>
        <w:t>Sind – abgesehen vom Visum selbst – die vorerwähnten Einreisevor- aussetzungen nicht erfüllt, kann in Ausnahmefällen ein Visum mit räumlich beschränkter Gültigkeit erteilt werden, das nur für das Hoheitsgebiet des betreffenden Mitgliedstaats gilt. Von dieser Möglichkeit kann der in Frage stehende Mitgliedstaat unter anderem Gebrauch machen, wenn er es aus humanitären Gründen, aus solchen des nationalen Interesses oder auf- grund internationaler Verpflichtungen für erforderlich hält (vgl. Art. 5 Abs. 3 AIG; Art. 3 Abs. 4 VEV; Art. 25 Abs. 1 Bst. a VK; Art. 6 Abs. 5 Bst. c SGK).</w:t>
      </w:r>
    </w:p>
    <w:p>
      <w:r>
        <w:rPr>
          <w:b/>
        </w:rPr>
        <w:t>E. 3.6</w:t>
      </w:r>
    </w:p>
    <w:p>
      <w:r>
        <w:t>Aufgrund ihrer sri-lankischen Staatsangehörigkeit unterliegen die Ge- suchstellenden der Visumspflicht (vgl. Art. 8 Abs. 1 VEV i.V.m. Anhang I Verordnung [EU] 2018/1806; Art. 6 Abs. 1 Bst. b SGK).</w:t>
      </w:r>
    </w:p>
    <w:p>
      <w:r>
        <w:rPr>
          <w:b/>
        </w:rPr>
        <w:t>E. 4.1</w:t>
      </w:r>
    </w:p>
    <w:p>
      <w:r>
        <w:t>Die Vorinstanz begründet die Abweisung der Einsprache im Wesentli- chen damit, dass die Wiederausreise der Gesuchstellenden nicht gewähr- leistet sei. Bei der Beurteilung des Kriteriums der gesicherten Wiederausreise muss ein zukünftiges Verhalten beurteilt werden. Anhaltspunkte dazu können sich zunächst aus der allgemeinen Situation im Herkunftsland der dritt- staatsangehörigen Personen ergeben. Namentlich bei Einreisegesuchen von Personen aus Staaten beziehungsweise Regionen mit politisch,</w:t>
      </w:r>
    </w:p>
    <w:p>
      <w:r>
        <w:t>F-1112/2023 Seite 6 wirtschaftlich und sozial ungünstigen Verhältnissen rechtfertigt sich eine strengere Praxis, da die persönliche Interessenlage in solchen Fällen er- fahrungsgemäss häufig nicht mit dem Ziel und Zweck einer zeitlich befris- teten Einreisebewilligung im Einklang steht (BVGE 2014/1 E. 6.1 m.H.).</w:t>
      </w:r>
    </w:p>
    <w:p>
      <w:r>
        <w:rPr>
          <w:b/>
        </w:rPr>
        <w:t>E. 4.2</w:t>
      </w:r>
    </w:p>
    <w:p>
      <w:r>
        <w:t>Sri Lanka befindet sich aktuell in einer schweren Wirtschafts- und Fi- nanzkrise, wobei es zu Engpässen bei der Versorgung mit Gütern wie Treibstoff, Strom, Medikamenten, Lebensmitteln sowie Gütern des tägli- chen Bedarfs kommen kann. Die Verschlechterung der wirtschaftlichen Lage Sri Lankas beschleunigte sich ab 2019 in Folge politischer Fehlent- scheide und finanziellem Missmanagement. Diese Entwicklung wurde durch die negativen Auswirkungen der Pandemie noch verstärkt. Dies hat zu landesweiten Protesten, teilweise gewaltsamen Ausschreitungen und schliesslich dazu geführt, dass Präsident Gotabaya Rajapaksa im Juli 2022 fliehen musste und in der Folge zurücktrat, nachdem der Präsidentenpalast gestürmt wurde (vgl. Wirtschaftsbericht Sri Lanka 2023 der Schweizeri- schen Botschaft in Colombo, &lt; https://www.seco.ad- min.ch/seco/de/home/Aussenwirtschaftspolitik_Wirtschaftliche_Zusam- menarbeit/Wirtschaftsbeziehungen/laenderinformationen/asien/sueda- sien/sri_lanka.html &gt; abgerufen im September 2024). Es bestehen politi- sche und soziale Spannungen, ebenso wie Spannungen zwischen religiö- sen beziehungsweise ethnischen Gemeinschaften. Sie können unvermit- telt aufflammen und zu gewaltsamen Ausschreitungen führen. Im ganzen Land besteht das Risiko von terroristischen Anschlägen (&lt; https://www.eda.admin.ch/eda/de/home/vertretungen-und-reisehin- weise/sri-lanka/reisehinweise-fuersrilanka.html &gt;, publiziert am 21.08.2024, abgerufen im September 2024).</w:t>
      </w:r>
    </w:p>
    <w:p>
      <w:r>
        <w:rPr>
          <w:b/>
        </w:rPr>
        <w:t>E. 4.3</w:t>
      </w:r>
    </w:p>
    <w:p>
      <w:r>
        <w:t>Wie die Vorinstanz im angefochtenen Entscheid bereits ausgeführt hat, ist ein im Zielland bestehendes, minimales soziales Beziehungsnetz aus Verwandten oder Freunden zudem ein wichtiges Element, das den Ent- scheid auszuwandern erleichtern kann. Angesichts der restriktiven Zulas- sungsregelung führt dies nicht selten zur Umgehung von ausländerrechtli- chen Bestimmungen, indem die Gesuchstellenden – einmal eingereist – versuchen, den Aufenthalt auf eine andere rechtliche Basis abzustützen (BVGE 2014/1 E. 6.2.2). Das Risiko einer nicht fristgerechten Wiederaus- reise der Gesuchstellenden ist demnach grundsätzlich als hoch einzu- schätzen.</w:t>
      </w:r>
    </w:p>
    <w:p>
      <w:r>
        <w:t>F-1112/2023 Seite 7</w:t>
      </w:r>
    </w:p>
    <w:p>
      <w:r>
        <w:rPr>
          <w:b/>
        </w:rPr>
        <w:t>E. 5.1</w:t>
      </w:r>
    </w:p>
    <w:p>
      <w:r>
        <w:t>Bei der Risikoanalyse sind allerdings nicht nur solch allgemeine Um- stände und Erfahrungen, sondern auch sämtliche Gesichtspunkte des kon- kreten Einzelfalles zu berücksichtigen. Obliegt einer gesuchstellenden Per- son im Heimatland eine besondere berufliche, gesellschaftliche oder fami- liäre Verantwortung, kann dieser Umstand durchaus die Prognose für eine anstandslose Wiederausreise begünstigen. Demgegenüber muss bei Per- sonen, die in ihrer Heimat keine besonderen Verpflichtungen haben, das Risiko für ein ausländerrechtlich nicht regelkonformes Verhalten nach einer bewilligten Einreise als hoch eingeschätzt werden (BVGE 2014/1 E. 6.3.1).</w:t>
      </w:r>
    </w:p>
    <w:p>
      <w:r>
        <w:rPr>
          <w:b/>
        </w:rPr>
        <w:t>E. 5.2</w:t>
      </w:r>
    </w:p>
    <w:p>
      <w:r>
        <w:t>Bei den Gesuchstellenden handelt es sich um gesunde Personen im Alter von 81 und 76 Jahren, die pensioniert sind. Sie seien in Sri Lanka stark verwurzelt und sowohl in sozialer wie auch in familiärer Hinsicht ein- gebunden. Die Tochter lebe mit ihrem Ehemann und den drei Kindern dort und die Gesuchstellenden würden sie durch die regelmässige Übernahme von Betreuungsaufgaben unterstützen. Dem Gesuchsteller sei es ein gros- ses Anliegen, seine Dienste als Vermittler und Berater in der Nachbarschaft auch künftig zur Verfügung stellen zu können. In Sri Lanka würden sie sich heimisch fühlen und ihren letzten Lebensabschnitt dort verbringen wollen. Ihr Barvermögen betrage rund Fr. 32'000.–. Sie würden über zwei Eigen- tumswohnungen verfügen sowie über zwei Ladenflächen, welche vermie- tet seien. Dieses zusätzliche Einkommen würde ihnen ein unabhängiges Leben ermöglichen. Sie seien gut situiert und von der aktuellen Krise nicht betroffen. Die Reise in die Schweiz würden sie auf Wunsch des Beschwer- deführers unternehmen wollen, der auch für sämtliche Kosten aufkomme. Dieser wäre bereit, seine Aufenthaltsbewilligung zurückzugeben, sollten die Gesuchstellenden nicht fristgerecht ausreisen, oder eine Kaution zu zahlen. Zuvor seien die Gesuchstellenden – bis auf eine Pilgerreise nach Mekka – nie ausserhalb ihrer Heimat gewesen. Voraussichtlich im Novem- ber 2024 werde der Beschwerdeführer Vater und die Gesuchstellenden würden gerne ihr Enkelkind kennenlernen.</w:t>
      </w:r>
    </w:p>
    <w:p>
      <w:r>
        <w:rPr>
          <w:b/>
        </w:rPr>
        <w:t>E. 5.3</w:t>
      </w:r>
    </w:p>
    <w:p>
      <w:r>
        <w:t>Der Beschwerdeführer weist darauf hin, dass er für alle Kosten aufkom- men werde, die während des Besuchs der Gesuchstellenden in der Schweiz anfallen würden und auch bereit wäre, eine finanzielle Garantie zu leisten. Für die Beurteilung des Kriteriums der gesicherten Wiederaus- reise ist jedoch hauptsächlich die persönliche, familiäre und wirtschaftliche Situation der gesuchstellenden Personen ausschlaggebend. Der Be- schwerdeführer reicht Schätzungen des Wertes von zwei Grundstücken lautend auf den Namen seines Vaters ein (SEM-Akten Einsprache-</w:t>
      </w:r>
    </w:p>
    <w:p>
      <w:r>
        <w:t>F-1112/2023 Seite 8 Beilagen 5 und 6 pag. 55–66). Die Einnahmen für die zwei vermieteten Ladenflächen betragen monatlich rund Fr. 56.– (LKR 20'000.–) und Fr. 51.– (LKR 18'000.–; act. 11 Beilagen 4 und 5). Damit erzielen die Gesuchstel- lenden ein Einkommen, welches wenig mehr über dem unteren Durch- schnitt von LKR 32'530.– liegt (vgl. &lt; https://www.paylab.com/lk/gehalter- im-land?lang=de &gt;, abgerufen im September 2024). Die Gesuchstellenden machen weiter geltend, eine Rente zu erhalten, äussern sich jedoch nicht zu deren Höhe. Einen aktuellen Kontoauszug bezüglich des Barvermögens der Gesuchstellenden reicht der Beschwerdeführer nicht ein. Anzumerken bleibt, dass Vermögenswerte und Liegenschaft sodann auch im Falle einer Migration nicht verloren gingen. Der Beschwerdeführer macht geltend, die Gesuchstellenden würden seine Schwester in Sri Lanka bei der Kinderbe- treuung unterstützen. Eine solche könnte auch anderweitig sichergestellt werden. Welche Aufgaben der Gesuchsteller als Nachbarschaftsvermittler genau innehat und wie sehr diese an seine Person geknüpft sind, wird nicht weiter ausgeführt. In einer Gesamtwürdigung lässt sich aus den Angaben der Beschwerdeführenden nicht auf besondere familiäre beziehungsweise gesellschaftliche Verpflichtungen schliessen, welche Gewähr für eine frist- gerechte Wiederausreise bieten würden. Auch kann nicht davon ausge- gangen werden, dass die Gesuchstellenden in derart soliden wirtschaftli- chen Verhältnissen leben, die sie von einer Emigration abhalten könnten. Mit der Vorinstanz ist deshalb davon auszugehen, dass sie aufgrund ihrer persönlichen Situation keine Verpflichtungen oder gar Abhängigkeiten ha- ben, die besondere Gewähr für eine Rückkehr ins Heimatland bieten könn- ten.</w:t>
      </w:r>
    </w:p>
    <w:p>
      <w:r>
        <w:rPr>
          <w:b/>
        </w:rPr>
        <w:t>E. 5.4</w:t>
      </w:r>
    </w:p>
    <w:p>
      <w:r>
        <w:t>An der Richtigkeit der Einschätzung der Vorinstanz ändern auch die Zusicherungen des Gastgebers in der Schweiz nichts. Bei der Risikobeur- teilung ist in erster Linie das mögliche Verhalten der Gäste selbst von Be- deutung. Gastgeber und Garanten können mit rechtlich verbindlicher Wir- kung zwar für gewisse finanzielle Risiken im Zusammenhang mit dem Be- suchsaufenthalt, nicht aber für ein bestimmtes Tun oder Unterlassen ihrer Gäste einstehen (vgl. in diesem Zusammenhang auch BVGE 2009/27 E. 9).</w:t>
      </w:r>
    </w:p>
    <w:p>
      <w:r>
        <w:rPr>
          <w:b/>
        </w:rPr>
        <w:t>E. 5.5</w:t>
      </w:r>
    </w:p>
    <w:p>
      <w:r>
        <w:t>Nach dem Gesagten ist die Schlussfolgerung der Vorinstanz, wonach die Wiederausreise der Gesuchstellenden angesichts ihrer individuellen Si- tuation sowie der allgemeinen Lage Sri Lankas nicht als gesichert angese- hen werden könne, nicht zu beanstanden. Mithin fehlt es an einer unab- dingbaren Voraussetzung für die Erteilung eines einheitlichen Visums für den gesamten Schengen-Raum. Gründe für die Ausstellung eines Visums</w:t>
      </w:r>
    </w:p>
    <w:p>
      <w:r>
        <w:t>F-1112/2023 Seite 9 mit räumlich beschränkter Gültigkeit wurden zu Recht nicht geltend ge- macht und solche sind auch nicht ersichtlich. Die Vorinstanz hat den Sach- verhalt richtig und vollständig abgeklärt.</w:t>
      </w:r>
    </w:p>
    <w:p>
      <w:r>
        <w:rPr>
          <w:b/>
        </w:rPr>
        <w:t>E. 6</w:t>
      </w:r>
    </w:p>
    <w:p>
      <w:r>
        <w:t>Die angefochtene Verfügung erweist sich im Lichte von Art. 49 VwVG als rechtmässig. Die Beschwerde ist demzufolge abzuweisen.</w:t>
      </w:r>
    </w:p>
    <w:p>
      <w:r>
        <w:rPr>
          <w:b/>
        </w:rPr>
        <w:t>E. 7</w:t>
      </w:r>
    </w:p>
    <w:p>
      <w:r>
        <w:t>Bei diesem Ausgang des Verfahrens sind die Kosten dem Beschwerdefüh- rer aufzuerlegen und auf Fr. 800.– festzusetzen (vgl. Art. 63 Abs. 1 VwVG i.V.m. Art. 1 ff. des Reglements vom 21. Februar 2008 über die Kosten und Entschädigungen vor dem Bundesverwaltungsgericht [VGKE, SR 173.320.2]). Sie sind durch den in gleicher Höhe geleisteten Kostenvor- schuss gedeckt. (Dispositiv nächste Seite)</w:t>
      </w:r>
    </w:p>
    <w:p>
      <w:r>
        <w:t>F-1112/2023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