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F-1112/2023 vom 9. September 2024</w:t>
      </w:r>
    </w:p>
    <w:p>
      <w:r>
        <w:t>Bundesverwaltungsgericht, 2024-09-09, DE</w:t>
      </w:r>
    </w:p>
    <w:p>
      <w:r>
        <w:rPr>
          <w:b/>
        </w:rPr>
        <w:t xml:space="preserve">Quelle: </w:t>
      </w:r>
      <w:r>
        <w:t>https://mcp.opencaselaw.ch/entscheid/bvger_F-1112_2023</w:t>
      </w:r>
    </w:p>
    <w:p>
      <w:r>
        <w:t>FR: TAF F-1112/2023 du 9 septembre 2024</w:t>
      </w:r>
    </w:p>
    <w:p>
      <w:r>
        <w:t>IT: TAF F-1112/2023 del 9 settembre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liegen Gesuche von sri-lankischen Staatsangehörigen um Erteilung von Visa zu Besuchszwecken in der Schweiz zugrunde. Da sich die Gesuchstellenden nicht auf die EU/EFTA- Personenfreizügigkeitsabkommen berufen können und die beabsichtigte Aufenthaltsdauer 90 Tage nicht überschreitet, fällt die vorliegende Streitsa- che in den Anwendungsbereich der Schengen-Assoziierungsabkommen, mit denen die Schweiz den Schengen-Besitzstand und die dazugehörigen gemeinschaftsrechtlichen Rechtsakte übernahm (BVGE 2014/1 E. 3; 2011/48 E. 3). Das AIG und dessen Ausführungsbestimmungen gelangen</w:t>
      </w:r>
    </w:p>
    <w:p>
      <w:r>
        <w:t>F-1112/2023 Seite 4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w:t>
      </w:r>
    </w:p>
    <w:p>
      <w:r>
        <w:t>F-1112/2023 Seite 5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sri-lankischen Staatsangehörigkeit unterliegen die Ge- suchstellenden der Visumspflicht (vgl.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w:t>
      </w:r>
    </w:p>
    <w:p>
      <w:r>
        <w:t>F-1112/2023 Seite 6 wirtschaftlich und sozial ungünstigen Verhältnissen rechtfertigt sich eine strengere Praxis, da die persönliche Interessenlage in solchen Fällen er- fahrungsgemäss häufig nicht mit dem Ziel und Zweck einer zeitlich befris- teten Einreisebewilligung im Einklang steht (BVGE 2014/1 E. 6.1 m.H.).</w:t>
      </w:r>
    </w:p>
    <w:p>
      <w:r>
        <w:rPr>
          <w:b/>
        </w:rPr>
        <w:t>E. 4.2</w:t>
      </w:r>
    </w:p>
    <w:p>
      <w:r>
        <w:t>Sri Lanka befindet sich aktuell in einer schweren Wirtschafts- und Fi- nanzkrise, wobei es zu Engpässen bei der Versorgung mit Gütern wie Treibstoff, Strom, Medikamenten, Lebensmitteln sowie Gütern des tägli- chen Bedarfs kommen kann. Die Verschlechterung der wirtschaftlichen Lage Sri Lankas beschleunigte sich ab 2019 in Folge politischer Fehlent- scheide und finanziellem Missmanagement. Diese Entwicklung wurde durch die negativen Auswirkungen der Pandemie noch verstärkt. Dies hat zu landesweiten Protesten, teilweise gewaltsamen Ausschreitungen und schliesslich dazu geführt, dass Präsident Gotabaya Rajapaksa im Juli 2022 fliehen musste und in der Folge zurücktrat, nachdem der Präsidentenpalast gestürmt wurde (vgl. Wirtschaftsbericht Sri Lanka 2023 der Schweizeri- schen Botschaft in Colombo, &lt; https://www.seco.ad- min.ch/seco/de/home/Aussenwirtschaftspolitik_Wirtschaftliche_Zusam- menarbeit/Wirtschaftsbeziehungen/laenderinformationen/asien/sueda- sien/sri_lanka.html &gt; abgerufen im September 2024). Es bestehen politi- sche und soziale Spannungen, ebenso wie Spannungen zwischen religiö- sen beziehungsweise ethnischen Gemeinschaften. Sie können unvermit- telt aufflammen und zu gewaltsamen Ausschreitungen führen. Im ganzen Land besteht das Risiko von terroristischen Anschlägen (&lt; https://www.eda.admin.ch/eda/de/home/vertretungen-und-reisehin- weise/sri-lanka/reisehinweise-fuersrilanka.html &gt;, publiziert am 21.08.2024, abgerufen im September 2024).</w:t>
      </w:r>
    </w:p>
    <w:p>
      <w:r>
        <w:rPr>
          <w:b/>
        </w:rPr>
        <w:t>E. 4.3</w:t>
      </w:r>
    </w:p>
    <w:p>
      <w:r>
        <w:t>Wie die Vorinstanz im angefochtenen Entscheid bereits ausgeführt hat, ist ein im Zielland bestehendes, minimales soziales Beziehungsnetz aus Verwandten oder Freunden zudem ein wichtiges Element, das den Ent- scheid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 Das Risiko einer nicht fristgerechten Wiederaus- reise der Gesuchstellenden ist demnach grundsätzlich als hoch einzu- schätzen.</w:t>
      </w:r>
    </w:p>
    <w:p>
      <w:r>
        <w:t>F-1112/2023 Seite 7</w:t>
      </w:r>
    </w:p>
    <w:p>
      <w:r>
        <w:rPr>
          <w:b/>
        </w:rPr>
        <w:t>E. 5.1</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5.2</w:t>
      </w:r>
    </w:p>
    <w:p>
      <w:r>
        <w:t>Bei den Gesuchstellenden handelt es sich um gesunde Personen im Alter von 81 und 76 Jahren, die pensioniert sind. Sie seien in Sri Lanka stark verwurzelt und sowohl in sozialer wie auch in familiärer Hinsicht ein- gebunden. Die Tochter lebe mit ihrem Ehemann und den drei Kindern dort und die Gesuchstellenden würden sie durch die regelmässige Übernahme von Betreuungsaufgaben unterstützen. Dem Gesuchsteller sei es ein gros- ses Anliegen, seine Dienste als Vermittler und Berater in der Nachbarschaft auch künftig zur Verfügung stellen zu können. In Sri Lanka würden sie sich heimisch fühlen und ihren letzten Lebensabschnitt dort verbringen wollen. Ihr Barvermögen betrage rund Fr. 32'000.–. Sie würden über zwei Eigen- tumswohnungen verfügen sowie über zwei Ladenflächen, welche vermie- tet seien. Dieses zusätzliche Einkommen würde ihnen ein unabhängiges Leben ermöglichen. Sie seien gut situiert und von der aktuellen Krise nicht betroffen. Die Reise in die Schweiz würden sie auf Wunsch des Beschwer- deführers unternehmen wollen, der auch für sämtliche Kosten aufkomme. Dieser wäre bereit, seine Aufenthaltsbewilligung zurückzugeben, sollten die Gesuchstellenden nicht fristgerecht ausreisen, oder eine Kaution zu zahlen. Zuvor seien die Gesuchstellenden – bis auf eine Pilgerreise nach Mekka – nie ausserhalb ihrer Heimat gewesen. Voraussichtlich im Novem- ber 2024 werde der Beschwerdeführer Vater und die Gesuchstellenden würden gerne ihr Enkelkind kennenlernen.</w:t>
      </w:r>
    </w:p>
    <w:p>
      <w:r>
        <w:rPr>
          <w:b/>
        </w:rPr>
        <w:t>E. 5.3</w:t>
      </w:r>
    </w:p>
    <w:p>
      <w:r>
        <w:t>Der Beschwerdeführer weist darauf hin, dass er für alle Kosten aufkom- men werde, die während des Besuchs der Gesuchstellenden in der Schweiz anfallen würden und auch bereit wäre, eine finanzielle Garantie zu leisten. Für die Beurteilung des Kriteriums der gesicherten Wiederaus- reise ist jedoch hauptsächlich die persönliche, familiäre und wirtschaftliche Situation der gesuchstellenden Personen ausschlaggebend. Der Be- schwerdeführer reicht Schätzungen des Wertes von zwei Grundstücken lautend auf den Namen seines Vaters ein (SEM-Akten Einsprache-</w:t>
      </w:r>
    </w:p>
    <w:p>
      <w:r>
        <w:t>F-1112/2023 Seite 8 Beilagen 5 und 6 pag. 55–66). Die Einnahmen für die zwei vermieteten Ladenflächen betragen monatlich rund Fr. 56.– (LKR 20'000.–) und Fr. 51.– (LKR 18'000.–; act. 11 Beilagen 4 und 5). Damit erzielen die Gesuchstel- lenden ein Einkommen, welches wenig mehr über dem unteren Durch- schnitt von LKR 32'530.– liegt (vgl. &lt; https://www.paylab.com/lk/gehalter- im-land?lang=de &gt;, abgerufen im September 2024). Die Gesuchstellenden machen weiter geltend, eine Rente zu erhalten, äussern sich jedoch nicht zu deren Höhe. Einen aktuellen Kontoauszug bezüglich des Barvermögens der Gesuchstellenden reicht der Beschwerdeführer nicht ein. Anzumerken bleibt, dass Vermögenswerte und Liegenschaft sodann auch im Falle einer Migration nicht verloren gingen. Der Beschwerdeführer macht geltend, die Gesuchstellenden würden seine Schwester in Sri Lanka bei der Kinderbe- treuung unterstützen. Eine solche könnte auch anderweitig sichergestellt werden. Welche Aufgaben der Gesuchsteller als Nachbarschaftsvermittler genau innehat und wie sehr diese an seine Person geknüpft sind, wird nicht weiter ausgeführt. In einer Gesamtwürdigung lässt sich aus den Angaben der Beschwerdeführenden nicht auf besondere familiäre beziehungsweise gesellschaftliche Verpflichtungen schliessen, welche Gewähr für eine frist- gerechte Wiederausreise bieten würden. Auch kann nicht davon ausge- gangen werden, dass die Gesuchstellenden in derart soliden wirtschaftli- chen Verhältnissen leben, die sie von einer Emigration abhalten könnten. Mit der Vorinstanz ist deshalb davon auszugehen, dass sie aufgrund ihrer persönlichen Situation keine Verpflichtungen oder gar Abhängigkeiten ha- ben, die besondere Gewähr für eine Rückkehr ins Heimatland bieten könn- ten.</w:t>
      </w:r>
    </w:p>
    <w:p>
      <w:r>
        <w:rPr>
          <w:b/>
        </w:rPr>
        <w:t>E. 5.4</w:t>
      </w:r>
    </w:p>
    <w:p>
      <w:r>
        <w:t>An der Richtigkeit der Einschätzung der Vorinstanz ändern auch die Zusicherungen des Gastgebers in der Schweiz nichts. Bei der Risikobeur- teilung ist in erster Linie das mögliche Verhalten der Gäste selbst von Be- deutung. Gastgeber und Garanten können mit rechtlich verbindlicher Wir- kung zwar für gewisse finanzielle Risiken im Zusammenhang mit dem Be- suchsaufenthalt,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Lage Sri Lankas nicht als gesichert angese- hen werden könne, nicht zu beanstanden. Mithin fehlt es an einer unab- dingbaren Voraussetzung für die Erteilung eines einheitlichen Visums für den gesamten Schengen-Raum. Gründe für die Ausstellung eines Visums</w:t>
      </w:r>
    </w:p>
    <w:p>
      <w:r>
        <w:t>F-1112/2023 Seite 9 mit räumlich beschränkter Gültigkeit wurden zu Recht nicht geltend ge- macht und solche sind auch nicht ersichtlich. Die Vorinstanz hat den Sach- verhalt richtig und vollständig abgeklärt.</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F-1112/2023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