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F-1105/2022 vom 14. Juli 2022</w:t>
      </w:r>
    </w:p>
    <w:p>
      <w:r>
        <w:t>Bundesverwaltungsgericht, 2022-07-14, FR</w:t>
      </w:r>
    </w:p>
    <w:p>
      <w:r>
        <w:rPr>
          <w:b/>
        </w:rPr>
        <w:t xml:space="preserve">Quelle: </w:t>
      </w:r>
      <w:r>
        <w:t>https://mcp.opencaselaw.ch/entscheid/bvger_F-1105_2022</w:t>
      </w:r>
    </w:p>
    <w:p>
      <w:r>
        <w:t>FR: TAF F-1105/2022 du 14 juillet 2022</w:t>
      </w:r>
    </w:p>
    <w:p>
      <w:r>
        <w:t>IT: TAF F-1105/2022 del 14 luglio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 a fait valoir à l'appui de son recours (cf. ATF 138 I 232 consid. 5). En effet, celui-ci a reproché au Secrétariat d'État de ne pas avoir suffisamment instruit son état de santé psychique, d'une part, et l'accès effectif au système de santé italien, d'autre part. Dans ce contexte, il a invoqué une violation par le SEM de la maxime inquisitoire, ce qui aurait conduit à un établissement inexact et incomplet de l'état de fait pertinent.</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en contradiction avec les pièces (cf. ATAF 2014/2 consid. 5.1 et jurisp. cit.; Benoit Bovay, Procédure administrative, 2e éd. 2015, p. 615; Kölz/Häner/Bertschi, Verwaltungsverfahren und Verwaltungsrechts-pflege des Bundes, 3e éd. 2013, no 1043 p. 369 ss).</w:t>
      </w:r>
    </w:p>
    <w:p>
      <w:r>
        <w:rPr>
          <w:b/>
        </w:rPr>
        <w:t>E. 2.4</w:t>
      </w:r>
    </w:p>
    <w:p>
      <w:r>
        <w:t>En l'occurrence, au moment où l'autorité intimée a statué, elle disposait de plusieurs documents médicaux mettant en évidence les affections dont souffre le recourant (cf. supra, notamment consid. F à K ainsi que M et N) et qu'elle a dûment pris en compte, contrairement aux allégations formulées dans le recours. Si postérieurement à la décision attaquée, diverses pièces médicales ont encore été versées au dossier du SEM (cf., notamment, pce. 1 TAF annexes 5 à 7 et pce. 9 TAF annexes 9 et 10), celles-ci ne changent pas l'état des faits à prendre en considération sous cet angle. Si les diagnostics médicaux indiqués dans ces différents documents ne se recoupent pas en tous points, ils font en revanche clairement référence aux troubles psychiques dont est atteint le recourant. Cette affection a du reste été établie dès l'arrivée de l'intéressé en Suisse et la médication prescrite à cet effet n'a que très peu évoluée. Quant à son état de santé somatique, il n'a pas nécessité de prise en charge conséquente et urgente. S'il appert au dossier que suite à l'annonce de la décision entreprise, le recourant a été hospitalisé une dizaine de jours dans un centre psychiatrique, il s'agit là d'un fait imprévisible que même des mesures d'instruction complémentaires entreprises par le SEM n'auraient pas permis d'établir dans le sens d'une haute probabilité. Au demeurant, au vu des griefs soulevés dans le recours, un échange d'écritures a été ouvert, au cours duquel tant l'autorité intimée que l'intéressé ont été en mesure de se déterminer sur la problématique médicale complète et actuelle, notamment sur la potentielle maladie neurologique du recourant, son résultat positif à la bactérie helicobacter pylori et sa détresse psychiatrique (cf. mémoire de recours p. 7). S'agissant de l'accès au système de santé italien et à la nécessité d'obtenir, en l'espèce, des garanties écrites et individuelles avant le prononcé du transfert, il s'agit de griefs relevant du fond, lesquels seront examinés ci-après (cf. infra, consid. 5 et 7.4).</w:t>
      </w:r>
    </w:p>
    <w:p>
      <w:r>
        <w:rPr>
          <w:b/>
        </w:rPr>
        <w:t>E. 2.5</w:t>
      </w:r>
    </w:p>
    <w:p>
      <w:r>
        <w:t>Dans ces conditions, le grief d'ordre formel invoqué par le recourant doit être rejeté. Au demeurant, même en admettant un éventuel manquement du SEM, celui-ci aurait, en l'occurrence, été guéri dans le cadre de la procédure de recours, vu l'échange d'écritures qui a eu lieu.</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permis d'établir, après consultation de l'unité centrale du système européen « Eurodac », que le recourant est entré clandestinement en Italie le 29 novembre 2021, avant de poursuivre son parcours migratoire à destination de la Suisse, où il a déposé une demande d'asile le 12 décembre suivant.</w:t>
      </w:r>
    </w:p>
    <w:p>
      <w:r>
        <w:rPr>
          <w:b/>
        </w:rPr>
        <w:t>E. 4.2</w:t>
      </w:r>
    </w:p>
    <w:p>
      <w:r>
        <w:t>En date du 20 décembre 2021, le Secrétariat d'Etat a dès lors soumis aux autorités italiennes compétentes, dans le délai fixé à l'art. 21 par. 1 RD III, une requête aux fins de prise en charge du prénommé,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4.3</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5.1</w:t>
      </w:r>
    </w:p>
    <w:p>
      <w:r>
        <w:t>Cela étant, il y a lieu d'examiner, en vertu de l'art. 3 par. 2 al. 2 RD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De jurisprudence constante, qui tient aussi compte des récents développements législatifs en Italie, le Tribunal a retenu qu'il ne pouvait être conclu à l'existence de défaillances systémiques dans la procédure d'asile et le système d'accueil en Italie et que l'application de l'art. 3 par. 2 du règlement Dublin III ne se justifiait dès lors pas, quand bien même la procédure d'asile et le dispositif d'accueil et d'assistance sociale dans cet Etat souffraient de certaines carences (arrêts de référence du TAF E-962/2019 du 17 décembre 2019 consid. 6.3 et F-6330/2020 du 18 octobre 2021 consid. 9 ; voir, aussi, l'arrêt récent du TAF D-4235/2021 du 19 avril 2022 consid. 10)</w:t>
      </w:r>
    </w:p>
    <w:p>
      <w:r>
        <w:rPr>
          <w:b/>
        </w:rPr>
        <w:t>E. 5.6</w:t>
      </w:r>
    </w:p>
    <w:p>
      <w:r>
        <w:t>Partant, l'application de l'art. 3 par. 2 al. 2 RD III ne se justifie pas en l'espèce.</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6.2</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Pour s'opposer à son transfert vers l'Italie, l'intéressé a, en substance, fait valoir, à l'appui de son recours et de sa réplique, qu'il présentait une vulnérabilité particulière, de sorte que le SEM aurait, à tout le moins, dû demander des garanties préalables et individuelles aux autorités italiennes. En outre, il a soutenu qu'un tel transfert contrevenait à l'art. 3 CEDH et 16 de la Conv. torture, au vu des conditions d'accueil des requérants d'asile en Italie et de son état de santé psychique précaire.</w:t>
      </w:r>
    </w:p>
    <w:p>
      <w:r>
        <w:rPr>
          <w:b/>
        </w:rPr>
        <w:t>E. 7.2</w:t>
      </w:r>
    </w:p>
    <w:p>
      <w:r>
        <w:t>En l'espèce, il ressort des divers documents médicaux versés au dossier les diagnostics suivants : état de stress post-traumatique ainsi qu'un état dépressif moyen (cf. dossier SEM, pce.1118974-31/4), une infection fongique génito-anale (cf. dossier SEM, pce. 1118974-24/1), de l'épilepsie ainsi que des lombalgie et gonalgies chroniques (cf. dossier SEM, pce 1118974-28/2), des céphalées (cf. dossier SEM, pce. 1118974-30/4), une infection à la bactérie helicobacter pylori (cf. dossier SEM, pce. 1118974-37/1), des vertiges orthostatiques (cf. dossier SEM, pce. 1118974-33/3) ainsi qu'une probable arythmie cardiaque (cf. pce. 9 TAF, annexe 9).</w:t>
      </w:r>
    </w:p>
    <w:p>
      <w:r>
        <w:rPr>
          <w:b/>
        </w:rPr>
        <w:t>E. 7.2.1</w:t>
      </w:r>
    </w:p>
    <w:p>
      <w:r>
        <w:t>Concernant les problèmes psychiques du recourant, il sied de relever qu'un traitement médicamenteux a été introduit et qu'une écoute empathique, du soutien et de la réassurance ont été recommandés. Si de nombreux médicaments ont été prescrits (Seroquel XR, Quétiapine, Imovane, Tegretol, Aspirine, Irfen, Pantoprazole et Magnésium) au recourant, il s'agit avant tout d'antidépresseurs, de somnifères, d'antidouleurs et des comprimés contre les troubles gastriques qui sont couramment prescrits.</w:t>
      </w:r>
    </w:p>
    <w:p>
      <w:r>
        <w:rPr>
          <w:b/>
        </w:rPr>
        <w:t>E. 7.2.2</w:t>
      </w:r>
    </w:p>
    <w:p>
      <w:r>
        <w:t>Quant à son épilepsie, il appert d'un rapport médical du 30 décembre 2021 que le recourant a fait mention de problèmes épileptiques, bien que son traitement n'ait pas été réintroduit lors de son arrivée en Suisse (cf. dossier SEM, pce. 1118974/28/2). Suite à de nombreuses plaintes de céphalées et des malaises, le Tegretol a toutefois été réintroduit en date du 22 avril 2022 par X._______, afin de traiter des formes d'épilepsie et de convulsion (cf. pce. 9 TAF, annexe 9 ainsi que pce. 1 TAF, annexes 5 et 7). En revanche, aucun problème ophtalmique ni aucun déficit évident n'ayant été constaté au niveau neurologique, l'intéressé a été jugé capable de travailler toute la journée en cuisine (cf. dossier SEM, pce. 1118974-32/4).</w:t>
      </w:r>
    </w:p>
    <w:p>
      <w:r>
        <w:rPr>
          <w:b/>
        </w:rPr>
        <w:t>E. 7.2.3</w:t>
      </w:r>
    </w:p>
    <w:p>
      <w:r>
        <w:t>S'agissant du risque suicidaire du recourant selon les médecins réactionnel au prononcé du transfert en Italie , c'est également à bon droit que l'autorité inférieure a relevé que « la mention d'un risque suicidaire »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F-4601/2021 du 15 décembre 2021 consid. 6.2.3). Dans ce contexte et dans la mesure où le dernier document médical produit fait état de menace suicidaire en cas de renvoi (recte : transfert) en Italie (cf. pce. 9 TAF, annexe 9), il appartiendra à l'autorité intimée d'évaluer les risques encourus sous cet angle lors de l'exécution du transfert et de prévoir, au besoin, les mesures d'accompagnement nécessaires (cf. consid. 7.5 infra).</w:t>
      </w:r>
    </w:p>
    <w:p>
      <w:r>
        <w:rPr>
          <w:b/>
        </w:rPr>
        <w:t>E. 7.2.4</w:t>
      </w:r>
    </w:p>
    <w:p>
      <w:r>
        <w:t>Partant, compte tenu de la jurisprudence restrictive en la matière, il y a lieu de considérer que les problèmes de santé évoqués par le recourant ne sont pas d'une gravité telle qu'il se justifierait de renoncer au transfert de l'intéressé vers l'Italie (cf., à ce sujet, Cour EDH précité Paposhvili c. Belgique, par. 183).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7.3</w:t>
      </w:r>
    </w:p>
    <w:p>
      <w:r>
        <w:t>En outre, il sied de relever que l'intéressé n'a pas manifesté une réelle volonté d'être soigné et ne s'est pas montré très coopératif à cet égard. Il a ainsi manqué un rendez-vous psychologique le 18 février 2022, dans la mesure où « il ne voulait pas attendre » ainsi qu'un rendez-vous avec son médecin généraliste le 25 janvier 2022 (cf. pce. 6 TAF p. 2) et n'a pas pris son traitement de manière régulière (cf. pce. 1 TAF, annexe 7). Concernant son hospitalisation dans un centre psychiatrique suite à de nombreux malaises début mars 2022, le recourant se plaint d'une prise en charge lacunaire du fait qu'elle aurait été interrompue par X._______ (cf. pce. 9 TAF). Sur la base de l'e-mail envoyé par la cheffe de clinique adjointe de X._______ au SEM, il ressort toutefois que l'intéressé présentait « une amélioration de son état psychique avec une mise à distance avec négation de toute intention de passage à l'acte et bonne projection dans l'avenir » et que c'était lui qui avait demandé de sortir de l'institution, « ce qui lui a été accordé vu l'évolution clinique favorable » (cf. dossier SEM, pce. 1118974-44/1). En outre, il ressort également du courriel précité que le recourant avait, lors de son hospitalisation, tenu des paroles et des postures inappropriées vis-à-vis du personnel soignant féminin (cf. pce. 9 TAF et pces. 1118974-44/1 et 1118974-45/1 dossier SEM). L'intéressé aurait à cet égard déjà été dénoncé au SEM pour une hypersexualité chronique, faisant des avances insistantes non partagées à d'autres requérantes du centre (cf. pce. 9 TAF, annexe 10). Dans ces conditions, rien ne permet de considérer que la prise en charge médicale ainsi que le suivi de l'intéressé auraient été lacunaires.</w:t>
      </w:r>
    </w:p>
    <w:p>
      <w:r>
        <w:rPr>
          <w:b/>
        </w:rPr>
        <w:t>E. 7.4</w:t>
      </w:r>
    </w:p>
    <w:p>
      <w:r>
        <w:t>Quant à l'argument du recourant concernant sa vulnérabilité particulière et l'obligation du SEM de demander des garanties préalables et individuelles aux autorités italiennes, le Tribunal retiendra ce qui suit.</w:t>
      </w:r>
    </w:p>
    <w:p>
      <w:r>
        <w:rPr>
          <w:b/>
        </w:rPr>
        <w:t>E. 7.4.1</w:t>
      </w:r>
    </w:p>
    <w:p>
      <w:r>
        <w:t>Récemment, le Tribunal a actualisé sa jurisprudence concernant le transfert en Italie de personnes particulièrement atteintes dans leur santé, en tenant compte de l'évolution favorable intervenue dans ce pays. Il est arrivé à la conclusion que l'entrée en vigueur du décret-loi n° 130/2020 avait contribué à améliorer les conditions d'existence des requérants d'asile en Italie et que le système d'accueil était désormais comparable à celui existant avant l'introduction du décret « Salvini ». Cela étant, des garanties préalables ne sont plus nécessaires pour les requérants d'asile n'ayant pas encore déposé de demande d'asile en Italie (procédure de prise en charge, « take charge »), y compris pour les requérants souffrant de problèmes de santé, comme c'est le cas de l'intéressé in casu (cf. arrêt du Tribunal D-546/2022 du 11 mars 2022 consid. 9.3.2).</w:t>
      </w:r>
    </w:p>
    <w:p>
      <w:r>
        <w:rPr>
          <w:b/>
        </w:rPr>
        <w:t>E. 7.4.2</w:t>
      </w:r>
    </w:p>
    <w:p>
      <w:r>
        <w:t>Le recourant n'ayant pas formellement sollicité l'asile lors de son passage en Italie, il lui incombera, à son retour sur place, de déposer une telle demande auprès des autorités italiennes compétentes et de se conformer à leurs instructions, ce qui lui permettra en particulier de bénéficier des prestations prévues par la directive Accueil.</w:t>
      </w:r>
    </w:p>
    <w:p>
      <w:r>
        <w:rPr>
          <w:b/>
        </w:rPr>
        <w:t>E. 7.4.3</w:t>
      </w:r>
    </w:p>
    <w:p>
      <w:r>
        <w:t>L'Italie étant liée par cette directive, elle doit faire en sorte que les demandeurs d'asile reçoivent les soins médicaux nécessaires qui comportent, au minimum, les soins urgents et le traitement essentiel des maladies et des troubles mentaux graves. Elle doit également fournir l'assistance médicale ou autre nécessaire aux demandeurs ayant des besoins particuliers en matière d'accueil, y compris, s'il y a lieu, des soins de santé mentale appropriés (art. 19 par. 1 et 2 de ladite directive). De plus, depuis l'entrée en vigueur du décret-loi no 130/2020, le système d'accueil des requérants d'asile est comparable à celui qui prévalait avant le « décret Salvini », de sorte qu'il peut à nouveau être retenu que l'Italie dispose de structures médicales suffisamment adéquates (cf. arrêt de référence F-6330/2020 précité consid. 10.5, arrêt du TAF précité D-4235/2021 consid. 10.4.3 ss. ainsi que consid. 7.4.1 supra). Partant, si l'intéressé manifeste le besoin d'obtenir un suivi médical en Italie, il y a lieu d'admettre qu'il pourra, dès le dépôt de la demande d'asile, être pris en charge de manière adéquate, ce pays disposant de structures médicales suffisantes. En tout état de cause, il pourra également y poursuivre le traitement médical prescrit en Suisse.</w:t>
      </w:r>
    </w:p>
    <w:p>
      <w:r>
        <w:rPr>
          <w:b/>
        </w:rPr>
        <w:t>E. 7.4.4</w:t>
      </w:r>
    </w:p>
    <w:p>
      <w:r>
        <w:t>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7.4.5</w:t>
      </w:r>
    </w:p>
    <w:p>
      <w:r>
        <w:t>En outre, le recourant n'a pas démontré ni même rendu vraisemblable que ses conditions d'existence en Italie revêtiraient, une fois qu'il y aura déposé une demande d'asile, un tel degré de pénibilité et de gravité qu'elles seraient, de manière avérée, constitutives d'un traitement contraire à l'art. 3 CEDH ou encore à l'art. 16 Conv. torture. En particulier, il n'a pas apporté d'indices objectifs, concrets et sérieux qu'il serait lui-même privé durablement, après le dépôt d'une demande d'asile, de tout accès à des conditions matérielles minimales d'accueil prévues par la directive Accueil et qu'il ne pourrait pas bénéficier de l'aide dont il pourrait avoir besoin pour faire valoir ses droits. Les jugements des tribunaux allemands cités à l'appui du recours ne sauraient suffire à cet égard.</w:t>
      </w:r>
    </w:p>
    <w:p>
      <w:r>
        <w:rPr>
          <w:b/>
        </w:rPr>
        <w:t>E. 7.4.6</w:t>
      </w:r>
    </w:p>
    <w:p>
      <w:r>
        <w:t>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w:t>
      </w:r>
    </w:p>
    <w:p>
      <w:r>
        <w:rPr>
          <w:b/>
        </w:rPr>
        <w:t>E. 7.5</w:t>
      </w:r>
    </w:p>
    <w:p>
      <w:r>
        <w:t>En tout état de cause, il incombera au Secrétariat d'Etat, tel qu'il l'a lui-même relevé dans sa décision et tel que déjà prévu dans le document sur les modalités de transfert (cf. dossier SEM, pce. 1118974-38/1), de transmettre aux autorités italiennes, sous une forme appropriée et avant celui-ci, les informations adéquates sur la situation médicale du recourant (art. 31 et 32 RD III). Il lui incombera également de se conformer à ces prescriptions pour prendre des mesures d'accompagnement, dans la mesure où l'état de santé du recourant devait rendre de telles mesures nécessaires lors de l'exécution du transfert, en particulier s'agissant du risque de suicide.</w:t>
      </w:r>
    </w:p>
    <w:p>
      <w:r>
        <w:rPr>
          <w:b/>
        </w:rPr>
        <w:t>E. 7.6</w:t>
      </w:r>
    </w:p>
    <w:p>
      <w:r>
        <w:t>Par conséquent, le transfert de l'intéressé vers l'Italie n'est pas contraire aux obligations découlant de dispositions conventionnelles auxquelles la Suisse est liée.</w:t>
      </w:r>
    </w:p>
    <w:p>
      <w:r>
        <w:rPr>
          <w:b/>
        </w:rPr>
        <w:t>E. 7.7</w:t>
      </w:r>
    </w:p>
    <w:p>
      <w:r>
        <w:t>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7.8</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Par conséquent, le recours doit être rejeté.</w:t>
      </w:r>
    </w:p>
    <w:p>
      <w:r>
        <w:rPr>
          <w:b/>
        </w:rPr>
        <w:t>E. 9</w:t>
      </w:r>
    </w:p>
    <w:p>
      <w:r>
        <w:t>Vu l'issue de la cause, il y aurait lieu de mettre les frais de procédure à la charge du recourant, conformément à l'art. 63 al. 1 PA et aux art. 2 et 3 let. a FITAF (RS 173.320.2). Toutefois, la requête d'assistance judiciaire partielle présentée par l'intéressé à l'appui du recours ayant été admise par décision incidente du 11 mars 2022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