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F-1091/2017 vom 7. Januar 2019</w:t>
      </w:r>
    </w:p>
    <w:p>
      <w:r>
        <w:t>Bundesverwaltungsgericht, 2019-01-07, FR</w:t>
      </w:r>
    </w:p>
    <w:p>
      <w:r>
        <w:rPr>
          <w:b/>
        </w:rPr>
        <w:t xml:space="preserve">Quelle: </w:t>
      </w:r>
      <w:r>
        <w:t>https://mcp.opencaselaw.ch/entscheid/bvger_F-1091_2017</w:t>
      </w:r>
    </w:p>
    <w:p>
      <w:r>
        <w:t>FR: TAF F-1091/2017 du 7 janvier 2019</w:t>
      </w:r>
    </w:p>
    <w:p>
      <w:r>
        <w:t>IT: TAF F-1091/2017 del 7 gennaio 2019</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de céans, qui statue comme autorité précédant le Tribunal fédéral (cf. art. 1 al. 2 LTAF, en relation avec l'art. 83 let. b a contrario LTF [RS 173.110]).</w:t>
      </w:r>
    </w:p>
    <w:p>
      <w:r>
        <w:rPr>
          <w:b/>
        </w:rPr>
        <w:t>E. 1.2</w:t>
      </w:r>
    </w:p>
    <w:p>
      <w:r>
        <w:t>La procédure devant le Tribunal de céans est régie par la PA, à moins que la LTAF n'en dispose autrement (cf. art. 37 LTAF).</w:t>
      </w:r>
    </w:p>
    <w:p>
      <w:r>
        <w:rPr>
          <w:b/>
        </w:rPr>
        <w:t>E. 1.3</w:t>
      </w:r>
    </w:p>
    <w:p>
      <w:r>
        <w:t>A._______ a qualité pour recourir (cf. art. 48 al. 1 PA). Présenté dans la forme et les délais prescrits par la loi, son recours est recevable (cf. art. 50 et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w:t>
      </w:r>
    </w:p>
    <w:p>
      <w:r>
        <w:rPr>
          <w:b/>
        </w:rPr>
        <w:t>E. 3.1</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w:t>
      </w:r>
    </w:p>
    <w:p>
      <w:r>
        <w:rPr>
          <w:b/>
        </w:rPr>
        <w:t>E. 3.2</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3.3</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ATAF 2010/16 consid. 4.4, et la jurisprudence citée; arrêts du TF 1C_588/2017 du 30 novembre 2017 consid. 5.1 et 1C_362/2017 du 12 octobre 2017 consid. 2.2.1, et la jurisprudence citée).</w:t>
      </w:r>
    </w:p>
    <w:p>
      <w:r>
        <w:rPr>
          <w:b/>
        </w:rPr>
        <w:t>E. 3.4</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4.1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4.2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 2017 consid. 2.2.1, et la jurisprudence citée). 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5</w:t>
      </w:r>
    </w:p>
    <w:p>
      <w:r>
        <w:t>Au préalable, le Tribunal de céans constate que les conditions formelles d'annulation de la naturalisation facilitée prévues par l'art. 41 aLN sont réalisées en l'espèce. En effet, la naturalisation facilitée accordée au recourant par décision du 15 septembre 2009 a été annulée par l'autorité inférieure le 16 janvier 2017, avec l'assentiment de l'autorité du canton d'origine compétente (cf. art. 41 al. 1 aLN). L'autorité inférieure a eu connaissance des faits déterminants pour engager une procédure d'annulation de la naturalisation facilitée au plus tôt le 10 juin 2015, date à laquelle les autorités genevoises ont annoncé au SEM que le recourant s'était remarié avec une ressortissante camerounaise. Les délais de prescription (relative et absolue) de l'art. 41 al. 1bis aLN, dans sa teneur en vigueur depuis le 1er mars 2011 (RO 2011 347), ont donc été respectés.</w:t>
      </w:r>
    </w:p>
    <w:p>
      <w:r>
        <w:rPr>
          <w:b/>
        </w:rPr>
        <w:t>E. 6</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6.1</w:t>
      </w:r>
    </w:p>
    <w:p>
      <w:r>
        <w:t>Dans le cas particulier, il appert du dossier que le recourant est entré en Suisse au mois de septembre 2002 au bénéfice d'une autorisation de séjour pour études et qu'il a épousé B._______ le 9 juin 2005. Celle-ci a donné naissance à leur fille commune le [...] 2007. L'intéressé a présenté une demande de naturalisation facilitée le 23 septembre 2008. Par décision du 15 septembre 2009 (entrée en force le 17 octobre 2009), il a obtenu la nationalité helvétique, après avoir contresigné, en date du 17 août 2009, une déclaration de vie commune confirmant la stabilité du mariage. Les époux, qui se sont définitivement séparés en février 2010 (cf. dossier K p. 30 et 37), ont introduit le 9 juillet 2014 une requête commune en divorce qui a abouti en date du 5 novembre 2014.</w:t>
      </w:r>
    </w:p>
    <w:p>
      <w:r>
        <w:rPr>
          <w:b/>
        </w:rPr>
        <w:t>E. 6.2</w:t>
      </w:r>
    </w:p>
    <w:p>
      <w:r>
        <w:t>Les éléments précités et leur enchaînement chronologique rapide - notamment la séparation des époux intervenue quatre mois après l'octroi de la naturalisation facilitée (cf. dossier K p. 3, 5, 30 et 37) - sont de nature à fonder la présomption de fait selon laquelle, au moment de la signature de la déclaration commune et lors de la décision de naturalisation, la communauté conjugale des époux n'était plus stable et orientée vers l'avenir au sens de l'art. 27 aLN.</w:t>
      </w:r>
    </w:p>
    <w:p>
      <w:r>
        <w:rPr>
          <w:b/>
        </w:rPr>
        <w:t>E. 6.3</w:t>
      </w:r>
    </w:p>
    <w:p>
      <w:r>
        <w:t>Comme le souligne à juste titre le recourant, il n'y a aucune raison de penser que le mariage en cause était de complaisance, dès lors que les conjoints ont fait ménage commun de 2005 à 2010 et qu'un enfant est issu du couple. Dans ces circonstances, on ne saurait attacher de l'importance au fait que le mariage a été conclu dans la hâte afin de permettre le séjour de l'intéressé en Suisse (cf. pce TAF 10 annexe R 1.6) et que les contacts entre l'épouse et sa belle-famille sont restés succincts. La question déterminante est toutefois de savoir si, au moment de l'octroi de la naturalisation facilitée, soit le 15 septembre 2009, le couple vivait une union stable et tournée vers l'avenir au sens de la jurisprudence précitée. Or, sous cet angle, de nombreux éléments renforcent la présomption de fait (cf. notamment supra consid. 6.2).</w:t>
      </w:r>
    </w:p>
    <w:p>
      <w:r>
        <w:rPr>
          <w:b/>
        </w:rPr>
        <w:t>E. 6.3.1</w:t>
      </w:r>
    </w:p>
    <w:p>
      <w:r>
        <w:t>Tout d'abord, on soulignera que l'argument de A._______ selon lequel le couple avait envisagé la séparation de biens déjà au moment du mariage ne saurait convaincre. En effet, plus de quatre ans se sont écoulés entre la célébration du mariage et l'établissement d'une séparation de biens (cf. pce TAF 10 annexe R 2.7). Le Tribunal de céans rejoint dès lors l'autorité inférieure lorsque celle-ci met en doute le fait que les ex-époux auraient eu cette volonté dès le début de leur mariage, ce qui renforce l'idée selon laquelle le couple était déjà en péril en juin 2009, soit avant l'octroi de la naturalisation facilitée.</w:t>
      </w:r>
    </w:p>
    <w:p>
      <w:r>
        <w:rPr>
          <w:b/>
        </w:rPr>
        <w:t>E. 6.3.2</w:t>
      </w:r>
    </w:p>
    <w:p>
      <w:r>
        <w:t>A cela s'ajoute le fait que l'ex-épouse n'a accepté d'accompagner le recourant au Cameroun qu'à une seule reprise, soit en juillet 2005, ce qui est pour le moins surprenant. Celle-ci s'est expliquée à ce sujet comme suit : « Je ne voulais pas courir d'un côté à l'autre, je voulais profiter de mes vacances. Cela ne correspondait pas à mes objectifs de vacances » (cf. pce TAF 10 annexe R 4.3).</w:t>
      </w:r>
    </w:p>
    <w:p>
      <w:r>
        <w:rPr>
          <w:b/>
        </w:rPr>
        <w:t>E. 6.3.3</w:t>
      </w:r>
    </w:p>
    <w:p>
      <w:r>
        <w:t>On rappellera également que B._______ avait déclaré, dans le cadre de son audition, que son ex-mari et elle-même ne partageaient pas les mêmes intérêts pour les fêtes de famille et qu'ils n'avaient pas la même conception de la vie de famille. Ces déclarations, qui n'ont d'ailleurs nullement été contestées par le recourant, plaident en sa défaveur dans la présente affaire.</w:t>
      </w:r>
    </w:p>
    <w:p>
      <w:r>
        <w:rPr>
          <w:b/>
        </w:rPr>
        <w:t>E. 6.3.4</w:t>
      </w:r>
    </w:p>
    <w:p>
      <w:r>
        <w:t>En outre, le fait que l'intéressé n'ait jamais allégué - ni, a fortiori, démontré - que le couple aurait pris des mesures concrètes en vue de tenter de sauver son mariage, avant ou après l'introduction de la procédure de divorce, est un autre indice permettant, prima vista, de supposer que les liens qui unissaient le couple avaient été fragilisés depuis une longue période (cf. infra consid. 7.1). Le fait que les ex-époux se soient accordés un court délai de réflexion ne peut en effet pas être considéré comme une mesure concrète suffisante destinée à préserver leur couple (cf. pce TAF 10 annexe R 7).</w:t>
      </w:r>
    </w:p>
    <w:p>
      <w:r>
        <w:rPr>
          <w:b/>
        </w:rPr>
        <w:t>E. 6.3.5</w:t>
      </w:r>
    </w:p>
    <w:p>
      <w:r>
        <w:t>Finalement, la nouvelle relation de l'intéressé, quelques mois seulement après qu'il se soit séparé de B._______, avec une ressortissante camerounaise - avec laquelle il a d'ailleurs eu deux enfants (cf. supra let. E) -, appuie la présomption de fait selon laquelle la communauté conjugale des époux n'était plus stable et orientée vers l'avenir déjà au moment de la signature de la déclaration de vie commune.</w:t>
      </w:r>
    </w:p>
    <w:p>
      <w:r>
        <w:rPr>
          <w:b/>
        </w:rPr>
        <w:t>E. 7</w:t>
      </w:r>
    </w:p>
    <w:p>
      <w:r>
        <w:t>Il convient dès lors d'examiner si le recourant est parvenu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4.3 supra, et la jurisprudence citée).</w:t>
      </w:r>
    </w:p>
    <w:p>
      <w:r>
        <w:rPr>
          <w:b/>
        </w:rPr>
        <w:t>E. 7.1</w:t>
      </w:r>
    </w:p>
    <w:p>
      <w:r>
        <w:t>En l'occurrence,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En particulier, il est difficilement 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7.2</w:t>
      </w:r>
    </w:p>
    <w:p>
      <w:r>
        <w:t>L'intéressé explique la rapidité des événements par son absence le jour de Noël durant l'année 2009. Compte tenu du fait que l'ex-épouse de l'intéressé avait admis, lors de l'audition du 3 mai 2016, que les époux n'avaient pas la même conception de la vie de famille (cf. pce TAF 10 annexe R 2.2), qu'elle se sentait parfois délaissée de son ex-mari et qu'il y avait eu « plusieurs petites gouttes qui ont fait déborder le vase » (pce TAF 10 annexe R 7), cet argument ne saurait être considéré comme un événement extraordinaire. B._______ avait d'ailleurs déclaré que le comportement du recourant n'avait « pas changé entre le début et sa naturalisation » (cf. pce TAF 10 annexe R 7). Ainsi, les propos tenus par la prénommée, et non contestés par l'intéressé, démontrent que le couple était déjà confronté à des problèmes conjugaux du même genre que l'incident de Noël 2009 bien avant la signature de la déclaration de vie commune.</w:t>
      </w:r>
    </w:p>
    <w:p>
      <w:r>
        <w:rPr>
          <w:b/>
        </w:rPr>
        <w:t>E. 8</w:t>
      </w:r>
    </w:p>
    <w:p>
      <w:r>
        <w:t>Il sied ainsi de déterminer si le recourant a rendu vraisemblable qu'il n'avait pas conscience de la gravité de ses problèmes de couple au moment de la signature de la déclaration de vie commune (17 août 2009) et lors de sa naturalisation (15 septembre 2009).</w:t>
      </w:r>
    </w:p>
    <w:p>
      <w:r>
        <w:rPr>
          <w:b/>
        </w:rPr>
        <w:t>E. 8.1</w:t>
      </w:r>
    </w:p>
    <w:p>
      <w:r>
        <w:t>On notera tout d'abord que le mariage des époux [...] a formellement duré plus de neuf ans et que ces derniers ont vécu ensemble durant près de quatre ans et demi (cf. dossier K p. 30, 37 et 46).</w:t>
      </w:r>
    </w:p>
    <w:p>
      <w:r>
        <w:rPr>
          <w:b/>
        </w:rPr>
        <w:t>E. 8.2</w:t>
      </w:r>
    </w:p>
    <w:p>
      <w:r>
        <w:t>Le recourant a en outre fait valoir qu'il avait partagé une vie sociale riche avec son ex-épouse, qu'il avait beaucoup voyagé avec elle et qu'ils sortaient régulièrement ensemble avec des amis (cf. pce TAF 1 p. 6 et dossier K p. 144 R 6). On relèvera toutefois qu'hormis la production de photographies, qui auraient été prises durant leurs vacances d'été 2009 (cf. pce TAF 4), lesdites allégations n'ont nullement été étayées par quelque moyen de preuve concret et objectif, susceptible d'en permettre une lecture différente.</w:t>
      </w:r>
    </w:p>
    <w:p>
      <w:r>
        <w:rPr>
          <w:b/>
        </w:rPr>
        <w:t>E. 8.3</w:t>
      </w:r>
    </w:p>
    <w:p>
      <w:r>
        <w:t>En ce qui concerne la naissance de leur fille commune, force est de constater que cet élément ne permet pas de renverser la présomption de fait selon laquelle, au moment de la signature de la déclaration commune et lors de la décision de naturalisation, la communauté conjugale des époux n'était plus stable et orientée vers l'avenir. En effet, la prénommée a été mise au monde en [...] 2007, soit bien avant la déclaration de vie commune.</w:t>
      </w:r>
    </w:p>
    <w:p>
      <w:r>
        <w:rPr>
          <w:b/>
        </w:rPr>
        <w:t>E. 8.4</w:t>
      </w:r>
    </w:p>
    <w:p>
      <w:r>
        <w:t>La conservation du nom acquis par mariage de B._______ afin de maintenir durablement les liens nés du mariage est également sans pertinence pour apprécier si la naturalisation a été obtenue de façon frauduleuse ou non (cf., sur ce point, arrêt du TF 1C_347/2015 du 27 octobre 2015 consid. 2.3 in fine et arrêt du TAF F-612/2016 du 1er février 2018 consid. 10.2.2).</w:t>
      </w:r>
    </w:p>
    <w:p>
      <w:r>
        <w:rPr>
          <w:b/>
        </w:rPr>
        <w:t>E. 8.5</w:t>
      </w:r>
    </w:p>
    <w:p>
      <w:r>
        <w:t>Il en va de même s'agissant de l'intégration du recourant en Suisse, dès lors que celle-ci ne permet pas de déterminer s'il y a eu (ou non) obtention frauduleuse de la naturalisation (cf. arrêts du TF 1C_362/2017 du 12 octobre 2017 consid. 2.4 et 1C_503/2015 du 21 janvier 2016 consid. 3.3).</w:t>
      </w:r>
    </w:p>
    <w:p>
      <w:r>
        <w:rPr>
          <w:b/>
        </w:rPr>
        <w:t>E. 8.6</w:t>
      </w:r>
    </w:p>
    <w:p>
      <w:r>
        <w:t>Quant aux déclarations de l'ex-épouse du recourant, selon lesquelles les intéressés n'avaient pas la même conception de la vie de famille et A._______ n'avait pas changé « entre le début et sa naturalisation » (cf. pce TAF 10 annexe R 7), il y a lieu d'observer qu'elles n'ont pas été contestées par ce dernier. Ainsi, le Tribunal estime que ce dernier ne pouvait ignorer, au moment de la signature de la déclaration de vie commune, qu'il ne formait pas une communauté conjugale effective et stable au sens de l'art. 27 aLN.</w:t>
      </w:r>
    </w:p>
    <w:p>
      <w:r>
        <w:rPr>
          <w:b/>
        </w:rPr>
        <w:t>E. 8.7</w:t>
      </w:r>
    </w:p>
    <w:p>
      <w:r>
        <w:t>En conclusion, au vu des pièces figurant au dossier, le Tribunal considère que les ex-époux ne formaient plus une communauté conjugale effective, stable et orientée vers l'avenir au moment de leur déclaration du 17 août 2009.</w:t>
      </w:r>
    </w:p>
    <w:p>
      <w:r>
        <w:rPr>
          <w:b/>
        </w:rPr>
        <w:t>E. 8.8</w:t>
      </w:r>
    </w:p>
    <w:p>
      <w:r>
        <w:t>Le recourant a également allégué que la décision attaquée aurait pour effet de le rendre apatride. Cependant, selon la jurisprudence constante du Tribunal fédéral, le risque que le recourant devienne apatride ne fait pas obstacle à l'annulation de sa naturalisation facilitée. Si celle-ci a été obtenue frauduleusement, l'intéressé doit en effet supporter les conséquences qui résultent pour lui de la perte de la nationalité suisse. Admettre qu'il en aille autrement reviendrait à conférer aux apatrides potentiels une protection absolue contre une éventuelle annulation de la naturalisation facilitée, ce qui contreviendrait au principe de l'égalité de traitement (cf. ATF 140 II 65 consid. 4.2.1 et la jurisprudence citée ; cf. également arrêt du TAF C-4883/2015 du 15 décembre 2015 consid. 10). Quoi qu'il en soit, l'art. 26 de la loi no 1968-LF-3 du 11 juin 1968 portant code de la nationalité camerounaise (cf. [https://www.refworld.org/docid/3ae6b4d734.html], consulté en décembre 2018) prévoit qu'est naturalisé camerounais, sans aucune condition de stage - et ce nonobstant les dispositions de l'article précédent - celui qui est né au Cameroun ou marié à une camerounaise. Il ressort de ce qui précède, que l'intéressé se prévaut en vain d'un risque d'apatridie.</w:t>
      </w:r>
    </w:p>
    <w:p>
      <w:r>
        <w:rPr>
          <w:b/>
        </w:rPr>
        <w:t>E. 8.9</w:t>
      </w:r>
    </w:p>
    <w:p>
      <w:r>
        <w:t>Compte tenu des considérations qui précèdent, le Tribunal n'admet pas le renversement de la présomption sur la base des explications fournies par le recourant. C'est donc à bon droit que l'autorité intimée a retenu que le recourant avait fait, lors de la procédure de naturalisation facilitée, des déclarations mensongères sur l'effectivité et la stabilité de sa communauté conjugale. Par conséquent, en prononçant l'annulation de sa naturalisation facilitée, l'autorité de première instance n'a pas violé l'art. 41 al. 1 aLN.</w:t>
      </w:r>
    </w:p>
    <w:p>
      <w:r>
        <w:rPr>
          <w:b/>
        </w:rPr>
        <w:t>E. 9</w:t>
      </w:r>
    </w:p>
    <w:p>
      <w:r>
        <w:t>Il ressort de ce qui précède que, par sa décision du 16 janvier 2017, l'autorité intimée n'a ni violé le droit fédéral, ni constaté des faits pertinents de manière inexacte ou incomplète ; en outre, cette décision n'est pas inopportune (art. 49 PA). En conséquence, le recours est rejeté.</w:t>
      </w:r>
    </w:p>
    <w:p>
      <w:r>
        <w:rPr>
          <w:b/>
        </w:rPr>
        <w:t>E. 10</w:t>
      </w:r>
    </w:p>
    <w:p>
      <w:r>
        <w:t>On rappellera qu'en vertu de l'art. 41 al. 3 aLN, sauf décision expresse, l'annulation fait également perdre la nationalité suisse aux membres de la famille qui l'ont acquise en vertu de la décision annulée. A cet égard, le Tribunal observe qu'il n'apparait pas, au regard de la législation camerounaise, que les enfants communs de l'intéressé et de son épouse actuelle soient menacés d'apatridie. En effet, aux termes de l'art. 7 let. a de la législation camerounaise précitée, est camerounais l'enfant légitime dont l'un des parents est camerounais. L'art. 8 let. a de ladite loi prévoit également qu'est camerounais l'enfant légitime d'une mère camerounaise et d'un père qui n'a pas de nationalité ou dont la nationalité est inconnue. Il s'ensuit que les enfants nés de la relation entre le recourant et son épouse actuelle auront, dans tous les cas, la possibilité d'acquérir la nationalité camerounaise dans la mesure où elle ne leur a pas déjà été octroyée.</w:t>
      </w:r>
    </w:p>
    <w:p>
      <w:r>
        <w:rPr>
          <w:b/>
        </w:rPr>
        <w:t>E. 11</w:t>
      </w:r>
    </w:p>
    <w:p>
      <w:r>
        <w:t>Vu l'issue de la cause, il y a lieu de mettre les frais de procédure de Fr. 1'200.- à la charge du recourant, en application de l'art. 63 al. 1 PA en lien avec l'art. 6 let. b du règlement du 21 février 2008 concernant les frais dépens et indemnités fixés par le Tribunal administratif fédéral (FITAF, RS 173.320). Vu l'issue de la cause, il n'y a pas lieu d'allouer des dépens (cf. art. 64 al. 1 PA a contrario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