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F-1084/2019 vom 8. Juni 2020</w:t>
      </w:r>
    </w:p>
    <w:p>
      <w:r>
        <w:t>Bundesverwaltungsgericht, 2020-06-08, FR</w:t>
      </w:r>
    </w:p>
    <w:p>
      <w:r>
        <w:rPr>
          <w:b/>
        </w:rPr>
        <w:t xml:space="preserve">Quelle: </w:t>
      </w:r>
      <w:r>
        <w:t>https://mcp.opencaselaw.ch/entscheid/bvger_F-1084_2019</w:t>
      </w:r>
    </w:p>
    <w:p>
      <w:r>
        <w:t>FR: TAF F-1084/2019 du 8 juin 2020</w:t>
      </w:r>
    </w:p>
    <w:p>
      <w:r>
        <w:t>IT: TAF F-1084/2019 del 8 giugno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par-devant le Tribunal, qui statue définitivement, sous réserve des cas où l'Accord sur la libre circulation des personnes du 21 juin 1999 (ALCP, RS 0.142.112.681) s'applique, ce qui n'est pas le cas en l'espèce, la recourante étant ressortissante d'un Etat tiers (cf. art. 1 al. 2 LTAF en lien avec l'art. 83 let. c ch. 1 LTF).</w:t>
      </w:r>
    </w:p>
    <w:p>
      <w:r>
        <w:rPr>
          <w:b/>
        </w:rPr>
        <w:t>E. 1.2</w:t>
      </w:r>
    </w:p>
    <w:p>
      <w:r>
        <w:t>A moins que la LTAF n'en dispose autrement, la procédure devant le Tribunal est régie par la PA (cf. art. 37 LTAF).</w:t>
      </w:r>
    </w:p>
    <w:p>
      <w:r>
        <w:rPr>
          <w:b/>
        </w:rPr>
        <w:t>E. 1.3</w:t>
      </w:r>
    </w:p>
    <w:p>
      <w:r>
        <w:t>La recourante a qualité pour recourir (cf. art. 48 al. 1 PA). Présenté dans la forme et dans les délais prescrits par la loi, le recours est recevable (cf. art. 50 et 52 PA).</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2.2</w:t>
      </w:r>
    </w:p>
    <w:p>
      <w:r>
        <w:t>Comme précisé dans sa jurisprudence (cf., notamment,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ou privé prépondérant est susceptible de justifier une application immédiate des nouvelles dispositions.</w:t>
      </w:r>
    </w:p>
    <w:p>
      <w:r>
        <w:rPr>
          <w:b/>
        </w:rPr>
        <w:t>E. 2.3</w:t>
      </w:r>
    </w:p>
    <w:p>
      <w:r>
        <w:t>En l'occurrence, la décision querellée a été prononcée avant l'entrée en vigueur du nouveau droit au 1er janvier 2019. Il convient de relever que les articles de la LEtr applicables dans la présente procédure, soit principalement les art. 5, 10, 11, 67 et 115, n'ont pas subi de modification. En revanche, l'art. 80 OASA, qui définit les notions d'atteinte à la sécurité et à l'ordre publics,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 voir à ce sujet, Rapport explicatif concernant la modification de l'OASA du 2 août 2018, accessible sur le site du SEM : www.sem.admin.ch, sous Accueil SEM &gt; Actualité &gt; Projets de législation en cours &gt; Projets de législation terminés &gt; Paquet 2 : Modification de l'ordonnance relative à l'admission, au séjour et à l'exercice d'une activité lucrative [OASA] et révision totale de l'ordonnance sur l'intégration des étrangers [OIE] Adoption). Le Tribunal considère, dès lors, qu'il n'y a pas d'intérêt public prépondérant à ce que le nouveau droit s'applique immédiatement. Par souci de clarté, il continuera donc à utiliser l'ancienne dénomination « LEtr ». Il en va de même en rapport avec l'OASA et l'OIE, ces ordonnances étant citées selon leur teneur valable jusqu'au 31 décembre 2018.</w:t>
      </w:r>
    </w:p>
    <w:p>
      <w:r>
        <w:rPr>
          <w:b/>
        </w:rPr>
        <w:t>E. 2.4</w:t>
      </w:r>
    </w:p>
    <w:p>
      <w:r>
        <w:t>Par ailleurs, l'ordonnance du 22 octobre 2008 sur l'entrée et l'octroi de visas (aOEV) a été abrogée et remplacée par l'ordonnance du 15 août 2018 sur l'entrée et l'octroi de visas (OEV, RS 142.204), entrée en vigueur le 15 septembre 2018.</w:t>
      </w:r>
    </w:p>
    <w:p>
      <w:r>
        <w:rPr>
          <w:b/>
        </w:rPr>
        <w:t>E. 3</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Sur un plan formel, la recourante se plaint de plusieurs violations de son droit d'être entendue. Ainsi, elle n'aurait pas eu l'occasion de se déterminer au préalable sur un éventuel prononcé d'une mesure d'éloignement à son encontre ; par ailleurs, elle n'aurait pas eu accès à toutes les pièces de son dossier pour motiver son recours. Sous un autre angle, elle a considéré que le SEM avait omis de motiver dans sa décision du 12 octobre 2018 le retrait de l'effet suspensif. 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Concernant le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arrêt du TAF F-2581/2016 du 21 février 2018 consid. 3.2). S'agissant du droit à obtenir une décision motivée, consacré aussi en procédure administrative fédérale par l'art. 35 PA (droit d'obtenir une décision motivée),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apparaissent pertinents (cf. ATF 137 II 266 consid. 3.2 et 136 I 229 consid. 5.2 ; ATAF 2009/35 consid. 6.4.1 et réf. cit.).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et les réf. cit.).</w:t>
      </w:r>
    </w:p>
    <w:p>
      <w:r>
        <w:rPr>
          <w:b/>
        </w:rPr>
        <w:t>E. 4.3</w:t>
      </w:r>
    </w:p>
    <w:p>
      <w:r>
        <w:t>S'agissant de son droit d'être entendue stricto sensu, il ressort que l'opportunité a été donnée à l'intéressée de s'exprimer sur une éventuelle mesure d'éloignement, suite à son arrestation en date du 31 juillet 2018 pour vol (cf. formulaire signé par l'intéressée en date du 31 juillet 2018). Or, c'est ensuite de ces faits que la décision incriminée a été prononcée, même si le SEM s'est également basé sur de précédentes condamnations. Cela dit, le Tribunal observe que cette manière de procéder de l'autorité inférieure, à savoir la délégation du droit d'être entendu, correspond à la pratique en la matière et a été jugée conforme au droit à maintes reprises par le Tribunal de céans (cf., parmi d'autres, les arrêts du TAF F-5365/2015 du 6 mars 2017 consid. 3 et C-2406/2014 du 19 février 2015 consid. 3.4). Que le droit d'être entendu ait eu lieu en représentation du SEM n'y change rien. En effet, le document signé par la recourante en date du 31 juillet 2018 a été transmis à l'autorité inférieure. Ce procédé aboutit ainsi au même résultat que si l'autorité inférieure avait octroyé elle-même le droit d'être entendu par écrit à l'intéressée (ibid.). Ce premier grief tiré d'une violation du droit d'être entendu doit ainsi être rejeté. Pour ce qui a trait à l'obligation de motiver le retrait de l'effet suspensif à la décision rendue le 12 octobre 2018, le Tribunal observe que le SEM a indiqué très précisément les faits qu'il reprochait à l'intéressée, savoir qu'elle était connue défavorablement des autorités judiciaires suisses depuis 2013 et qu'elle avait été condamnée en dernier lieu en août 2018. En conséquence, le SEM a considéré que l'intérêt public à un contrôle des entrées en Suisse de l'intéressée l'emportait sur son intérêt privé et, pour ces mêmes motifs, il a retiré l'effet suspensif au recours. Ce second grief n'est donc pas davantage pertinent. S'agissant enfin de l'allégation contenue dans le mémoire de recours du 3 mars 2019, et réitérée dans le complément du 6 mai 2019, selon laquelle l'intéressée n'aurait pas eu accès aux pièces du dossier, respectivement à toutes les pièces, elle n'est pas davantage fondée. En effet, ainsi que l'a relevé à juste titre le SEM dans sa réponse du 17 juin 2019, l'intéressée a sollicité la consultation des pièces du dossier par courrier du 25 février 2019, soit le 25e jour du délai de 30 jours pour interjeter recours. Elle a ainsi pris le risque de ne pas pouvoir consulter dans le délai légal les pièces du dossier avant de rédiger son mémoire de recours. Enfin, son reproche selon lequel elle n'a pas eu accès à l'ensemble des pièces de son dossier n'est également pas pertinent. Ainsi que l'a aussi relevé le SEM dans sa réponse du 17 juin 2019, toutes les pièces ayant été retenues pour motiver la décision du 12 octobre 2018 ont été adressées au mandataire de la recourante par courrier du 4 mars 2019. Celle-ci a ainsi eu en sa possession toutes les informations retenues par le SEM pour fonder sa décision du 12 octobre 2018.</w:t>
      </w:r>
    </w:p>
    <w:p>
      <w:r>
        <w:rPr>
          <w:b/>
        </w:rPr>
        <w:t>E. 4.4</w:t>
      </w:r>
    </w:p>
    <w:p>
      <w:r>
        <w:t>Aussi, vu de ce qui précède, les griefs tirés de la violation du droit d'être entendu ne sauraient être retenus.</w:t>
      </w:r>
    </w:p>
    <w:p>
      <w:r>
        <w:rPr>
          <w:b/>
        </w:rPr>
        <w:t>E. 5.1</w:t>
      </w:r>
    </w:p>
    <w:p>
      <w:r>
        <w:t>L'intéressée est une ressortissante marocaine, soit originaire d'un Etat tiers, de sorte que le prononcé querellé s'examine à l'aune de la LEtr, les dispositions de l'ALCP n'étant pas applicables au cas d'espèce et ce, quand bien même l'intéressée est au bénéfice d'un permis de résidence délivré par les autorités espagnoles. En effet, ce permis règle ses conditions de séjour en Espagne et l'autorise à se déplacer dans l'espace communautaire mais force est de constater que sur le territoire suisse, elle demeure soumise à la LEtr. Or, selon le Tribunal fédéral (ci-après : TF), un étranger ressortissant d'un pays tiers n'a pas besoin d'avoir atteint de manière grave l'ordre et la sécurité publics avant de pouvoir se voir interdire d'entrée en Suisse sur la base du seul art. 67 LEtr (cf. ATF 139 II 121 consid. 5.4).</w:t>
      </w:r>
    </w:p>
    <w:p>
      <w:r>
        <w:rPr>
          <w:b/>
        </w:rPr>
        <w:t>E. 5.2</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5.2.1</w:t>
      </w:r>
    </w:p>
    <w:p>
      <w:r>
        <w:t>Aux termes de l'art. 2 al. 1 OEV,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w:t>
      </w:r>
    </w:p>
    <w:p>
      <w:r>
        <w:rPr>
          <w:b/>
        </w:rPr>
        <w:t>E. 5.2.2</w:t>
      </w:r>
    </w:p>
    <w:p>
      <w:r>
        <w:t>L'art. 6 par. 1 du code frontières Schengen, dont le contenu coïncide largement avec celui de l'art. 5 al. 1 LEtr précité (cf. arrêt du TAF F-7153/2018 du 7 octobre 2019 consid. 5.2.1),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 les critères étant les suivants : la durée de validité du document est supérieure d'au moins trois mois à la date à laquelle le demandeur a prévu de quitter le territoire des Etats membres, sous réserve de dérogations en cas d'urgence dûment justifiées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5.2.3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5.3</w:t>
      </w:r>
    </w:p>
    <w:p>
      <w:r>
        <w:t>Selon l'art. 67 al. 2 let. a et c LEtr, le SEM peut interdire l'entrée en Suisse à un étranger lorsque ce dernier a attenté à la sécurité et à l'ordre publics en Suisse ou à l'étranger ou les a mis en danger et lorsqu'il a été placé en détention en phase préparatoire, en détention en vue du renvoi ou de l'expulsion ou en détention pour insoumission (art. 75 à 78).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du Conseil fédéral du 8 mars 2002 concernant la loi sur les étrangers, FF 2002 3469, 3568 [ci-après : Message LEtr] ; voir également ATAF 2017 VII/2 consid. 4.4 et 6.4).</w:t>
      </w:r>
    </w:p>
    <w:p>
      <w:r>
        <w:rPr>
          <w:b/>
        </w:rPr>
        <w:t>E. 5.4</w:t>
      </w:r>
    </w:p>
    <w:p>
      <w:r>
        <w:t>En vertu de l'ancien 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dans son ancienne teneur).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arrêt du TAF F 6546/2017 du 10 août 2018 consid. 4.2 et les réf. cit.).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3564).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5.5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6</w:t>
      </w:r>
    </w:p>
    <w:p>
      <w:r>
        <w:t>Dans un premier temps, il s'agit d'examiner si le prononcé d'une interdiction d'entrée est justifié dans son principe.</w:t>
      </w:r>
    </w:p>
    <w:p>
      <w:r>
        <w:rPr>
          <w:b/>
        </w:rPr>
        <w:t>E. 6.1</w:t>
      </w:r>
    </w:p>
    <w:p>
      <w:r>
        <w:t>Dans sa décision du 12 octobre 2018, l'autorité inférieure s'est fondée, pour motiver l'interdiction d'entrée en suisse de l'intéressée, d'une part, sur la condamnation prononcée par le Ministère public du canton de Genève pour vol le 3 août 2018 (cf. let. B supra) et, d'autre part, sur le fait qu'elle est défavorablement connue des autorités judiciaires suisses depuis 2013.</w:t>
      </w:r>
    </w:p>
    <w:p>
      <w:r>
        <w:rPr>
          <w:b/>
        </w:rPr>
        <w:t>E. 6.2</w:t>
      </w:r>
    </w:p>
    <w:p>
      <w:r>
        <w:t>La recourante, quant à elle, se prévaut d'une violation du droit fédéral et d'une constatation inexacte des faits pertinents. Selon elle, le SEM aurait fait preuve d'une réponse disproportionnée par rapport au peu de gravité des infractions qui lui sont reprochées. Elle se fonde sur l'analyse développée par le TF dans le cadre du prononcé d'interdictions d'entrée en Suisse à l'encontre de ressortissants, pouvant se prévaloir des dispositions de l'ALCP.</w:t>
      </w:r>
    </w:p>
    <w:p>
      <w:r>
        <w:rPr>
          <w:b/>
        </w:rPr>
        <w:t>E. 6.3</w:t>
      </w:r>
    </w:p>
    <w:p>
      <w:r>
        <w:t>Sur la base des pièces au dossier, le Tribunal constate pour sa part ce qui suit : Bien que la recourante peut se prévaloir d'un permis de résidence délivré par les autorités espagnoles, ce document sert à régler ses conditions de séjour sur le sol espagnol et à faciliter ses déplacements dans l'espace communautaire. En effet, à ce titre, elle est libérée de l'obligation de requérir la délivrance d'un visa pour un séjour en Suisse de courte durée sans activité lucrative (cf. Annexe de la décision d'exécution de la Commission modifiant la décision de la Commission C(2010) 1620 établissant le Manuel relatif au traitement des demandes de visa et à la modification des visas délivrés [C(2019) 3464 final], ch. 3.1.1, p. 11, accessible sur le site du SEM : www.sem.admin.ch Publication &amp; services Directives et circulaires VII. Visas Séjour jusqu'à 90 jours [réglementation Schengen], consulté en mai 2020). Toutefois, en l'absence d'autres liens avec la Suisse (en particulier familiaux ou professionnels), l'intéressée ne peut en retirer aucun avantage et demeure soumise aux prescriptions de la LEtr. Dans ce contexte, le simple fait de représenter une menace pour l'ordre et la sécurité publics est suffisant pour justifier le prononcé d'une interdiction d'entrée en Suisse. A cela s'ajoute le fait que, depuis 2013, l'intéressée a été condamnée à plusieurs reprises pour vol sur le territoire suisse, et alors qu'elle savait faire l'objet d'une mesure d'éloignement valable jusqu'en 2021, elle n'a pas hésité à revenir sur le sol suisse pour y commettre un nouvel acte illicite (cf. procès-verbal d'arrestation du 20 juillet 2019).</w:t>
      </w:r>
    </w:p>
    <w:p>
      <w:r>
        <w:rPr>
          <w:b/>
        </w:rPr>
        <w:t>E. 6.4</w:t>
      </w:r>
    </w:p>
    <w:p>
      <w:r>
        <w:t>Au vu de ce qui précède, il y a lieu de conclure que le prononcé de l'interdiction d'entrée litigieuse était justifié quant à son principe.</w:t>
      </w:r>
    </w:p>
    <w:p>
      <w:r>
        <w:rPr>
          <w:b/>
        </w:rPr>
        <w:t>E. 7</w:t>
      </w:r>
    </w:p>
    <w:p>
      <w:r>
        <w:t>Il convient encore d'examiner si la mesure d'éloignement, dont la durée a été fixée par l'autorité inférieure à trois ans, satisfait aux principes généraux de procédure, en particulier à celui de la proportionnalité.</w:t>
      </w:r>
    </w:p>
    <w:p>
      <w:r>
        <w:rPr>
          <w:b/>
        </w:rPr>
        <w:t>E. 7.1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7.2</w:t>
      </w:r>
    </w:p>
    <w:p>
      <w:r>
        <w:t>En l'occurrence, s'agissant de l'intérêt public à l'éloignement de la recourante de Suisse, le Tribunal observe que les motifs retenus à l'appui de la décision prononcée le 12 octobre 2018 à l'encontre de la recourante ne sauraient être contestés. La recourante s'obstinant à pénétrer sur le sol suisse pour y commettre des vols et dès lors qu'elle n'a pas respecté une première mesure d'éloignement prononcée à son encontre en 2014, il y a un intérêt public certain à son éloignement de Suisse. L'interdiction d'entrée litigieuse apparaît, en outre, apte et nécessaire à empêcher que l'intéressée contrevienne à nouveau à l'ordre public suisse. A ce titre, mais sans qu'elle ait d'influence sur l'issue de la présente cause, le Tribunal constate de surcroît que l'intéressée a fait l'objet d'une nouvelle arrestation pour vol, en date du 31 janvier 2019.</w:t>
      </w:r>
    </w:p>
    <w:p>
      <w:r>
        <w:rPr>
          <w:b/>
        </w:rPr>
        <w:t>E. 7.3</w:t>
      </w:r>
    </w:p>
    <w:p>
      <w:r>
        <w:t>Quant aux intérêts privés de l'intéressée, cette dernière ne s'est prévalue que du fait que l'interdiction d'entrée litigieuse limitait sa liberté de mouvement en Suisse. Cet intérêt privé, certes compréhensible, n'est toutefois pas prépondérant en l'espèce. L'interdiction d'entrée litigieuse étant, par ailleurs, limitée à la Suisse et au Liechtenstein, la recourante dispose, en principe, de la possibilité de se rendre sur le territoire des autres Etats Schengen. Les limitations induites par cette mesure d'éloignement doivent dès lors être relativisées.</w:t>
      </w:r>
    </w:p>
    <w:p>
      <w:r>
        <w:rPr>
          <w:b/>
        </w:rPr>
        <w:t>E. 7.4</w:t>
      </w:r>
    </w:p>
    <w:p>
      <w:r>
        <w:t>S'agissant, enfin, de la durée de l'interdiction d'entrée de trois ans, celle-ci respecte le principe de la proportionnalité et correspond à celle que le Tribunal de céans avait considérée comme adéquate dans des affaires similaires (cf., pour comparaison, arrêts du TAF C-4372/2015 du 25 mai 2016 ; F-530/2017 du 1er décembre 2017).</w:t>
      </w:r>
    </w:p>
    <w:p>
      <w:r>
        <w:rPr>
          <w:b/>
        </w:rPr>
        <w:t>E. 7.5</w:t>
      </w:r>
    </w:p>
    <w:p>
      <w:r>
        <w:t>Enfin, le Tribunal constate, au vu des développements ci-dessus, qu'il n'existe pas de raisons humanitaires ou d'autres motifs importants justifiant l'abstention ou la suspension de la mesure d'éloignement au sens de l'art. 67 al. 5 LEtr.</w:t>
      </w:r>
    </w:p>
    <w:p>
      <w:r>
        <w:rPr>
          <w:b/>
        </w:rPr>
        <w:t>E. 8</w:t>
      </w:r>
    </w:p>
    <w:p>
      <w:r>
        <w:t>Eu égard aux considérants qui précèdent, le Tribunal est amené à conclure que la décision querellée est conforme au droit (cf. art. 49 PA). Le recours est en conséquence rejeté. Au vu de l'issue de la cause,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