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F-1080/2019 vom 12. Dezember 2019</w:t>
      </w:r>
    </w:p>
    <w:p>
      <w:r>
        <w:t>Bundesverwaltungsgericht, 2019-12-12, FR</w:t>
      </w:r>
    </w:p>
    <w:p>
      <w:r>
        <w:rPr>
          <w:b/>
        </w:rPr>
        <w:t xml:space="preserve">Quelle: </w:t>
      </w:r>
      <w:r>
        <w:t>https://mcp.opencaselaw.ch/entscheid/bvger_F-1080_2019</w:t>
      </w:r>
    </w:p>
    <w:p>
      <w:r>
        <w:t>FR: TAF F-1080/2019 du 12 décembre 2019</w:t>
      </w:r>
    </w:p>
    <w:p>
      <w:r>
        <w:t>IT: TAF F-1080/2019 del 12 dicembre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A noter que le fait que le recours soit daté - à tort ou à raison - du 27 février 2019, alors que la notification de la décision querellée n'est intervenue qu'un jour plus tard, ne remet pas en cause le respect des délais, dès lors que la réception du recours date du 4 mars 2019, soit durant le délai de recours fixé par la loi (art. 50 al. 1 PA). Il est par conséquent recevable.</w:t>
      </w:r>
    </w:p>
    <w:p>
      <w:r>
        <w:rPr>
          <w:b/>
        </w:rPr>
        <w:t>E. 1.4</w:t>
      </w:r>
    </w:p>
    <w:p>
      <w:r>
        <w:t>En vertu de l'art. 33a al. 2 PA, la langue de la procédure de recours est celle de la décision attaquée. In casu, la décision litigieuse a été rédigée en français, de sorte que la présente procédure est conduite en français.</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En l'occurrence, la décision querellée a été prononcée après l'entrée en vigueur au 1er janvier 2019 des modifications de la LEtr du 16 décembre 2016. Il convient de relever que les articles de la LEtr applicables dans la présente procédure, soit principalement les art. 5, 10, 11, 67 et 115, n'ont pas subi de modification. En revanche, l'art. 80 aOASA, qui définit les notions d'atteinte à la sécurité et à l'ordre publics, a été abrogé et remplacé par le nouvel art. 77a OASA. Néanmoins, cette modification découle de raisons de systématique et la définition contenue à l'art. 77a OASA reste inspirée du Message du 8 mars 2002 concernant la loi sur les étrangers (FF 2002 3469, 3564 ; voir à ce sujet, Rapport explicatif concernant la modification de l'OASA du 2 août 2018, accessible sur le site du SEM : www.sem.admin.ch, sous Accueil SEM Actualité Projets de législation en cours Projets de législation terminés Paquet 2 : Modification de l'ordonnance relative à l'admission, au séjour et à l'exercice d'une activité lucrative [OASA] et révision totale de l'ordonnance sur l'intégration des étrangers [OIE] Adoption, consulté en décembre 2019). Le Tribunal utilisera donc la nouvelle dénomination « LEI ». Il en va de même en rapport avec l'OASA et l'OIE qui seront citées selon leur teneur valable depuis le 1er janvier 2019.</w:t>
      </w:r>
    </w:p>
    <w:p>
      <w:r>
        <w:rPr>
          <w:b/>
        </w:rPr>
        <w:t>E. 2.3</w:t>
      </w:r>
    </w:p>
    <w:p>
      <w:r>
        <w:t>Par ailleurs, il convient de relever que l'ordonnance du 22 octobre 2008 sur l'entrée et l'octroi de visas (aOEV) a été abrogée et remplacée par l'ordonnance du 15 août 2018 sur l'entrée et l'octroi de visas (OEV, RS 142.204), entrée en vigueur le 15 septembre 2018. Etant donné que la procédure devant l'autorité inférieure est postérieure à cette date, la nouvelle ordonnance est applicable (cf. art. 70 et 71 OEV).</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4.1</w:t>
      </w:r>
    </w:p>
    <w:p>
      <w:r>
        <w:t>Dans son recours daté du 27 février 2019, l'intéressé a contesté les faits tels qu'établis dans la décision attaquée, arguant notamment qu'il ne savait pas qu'il travaillait sans autorisation idoine. En effet, son employeur ne l'aurait pas informé de l'absence de démarches nécessaires pour qu'il puisse travailler légalement en Suisse. Il a en outre demandé à ce que la décision d'interdiction d'entrée ne déploie par ses effets aux autres Etats membres de l'Espace Schengen.</w:t>
      </w:r>
    </w:p>
    <w:p>
      <w:r>
        <w:rPr>
          <w:b/>
        </w:rPr>
        <w:t>E. 4.2</w:t>
      </w:r>
    </w:p>
    <w:p>
      <w:r>
        <w:t>Au regard des arguments présentés par le recourant et de l'objet du litige, le Tribunal se prononcera ainsi sur la question de savoir si le prononcé d'une décision d'interdiction d'entrée en Suisse et au Liechtenstein à l'encontre du recourant était justifié (cf. infra consid. 7) et, cas échéant, si la durée de cette mesure respecte les principes généraux du droit administratif (cf. infra consid. 8). Le SEM ayant inscrit ses données dans le SIS II, cette question fait également l'objet de la procédure (cf. infra consid. 9).</w:t>
      </w:r>
    </w:p>
    <w:p>
      <w:r>
        <w:rPr>
          <w:b/>
        </w:rPr>
        <w:t>E. 5.1</w:t>
      </w:r>
    </w:p>
    <w:p>
      <w:r>
        <w:t>L'intéressé est un ressortissant de Macédoine du Nord, soit originaire d'un Etat tiers, de sorte que le prononcé querellé s'examine à l'aune de la LEI,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5.2</w:t>
      </w:r>
    </w:p>
    <w:p>
      <w:r>
        <w:t>Aux termes de l'art. 5 al. 1 LEI, tout 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(art. 2 al. 4 LEI). S'agissant des conditions d'entrée en Suisse pour un court séjour (soit un séjour n'excédant pas 90 jours sur toute période de 180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LEI, l'entrée en Suisse et la sortie de Suisse sont régies par les Accords d'association à Schengen. L'art. 6 par. 1 du code frontières Schengen, dont le contenu coïncide largement avec celui de l'art. 5 al. 1 LEI précité (cf., au sujet de l'art. 5 al. 1 LEtr, les arrêts du TAF F-5751/2017 du 27 mars 2019 consid. 5.1 et F-373/2018 du 5 février 2019 consid. 4.1),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 être en possession d'un visa en cours de validité si celui-ci est requis en vertu du Règlement (CE) n° 539/2001 du Conseil du 15 mars 2001 (JO L 81 du 21 mars 2001, p. 1-7) fixant, notamment,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5.3</w:t>
      </w:r>
    </w:p>
    <w:p>
      <w:r>
        <w:t>Tout étranger peut séjourner en Suisse sans exercer d'activité lucrative pendant trois mois sans autorisation, sauf si la durée fixée dans le visa est plus courte (art. 10 al. 1 LEI). Une autorisation est nécessaire lorsqu'un étranger prévoit, sans exercer d'activité lucrative, de séjourner en Suisse pour une durée plus longue. Cette autorisation doit être demandée avant l'entrée en Suisse (art. 10 al. 2 LEI). En outre, tout étranger qui entend exercer en Suisse une activité lucrative doit, en vertu de l'art. 11 al. 1 LEI, être titulaire d'une autorisation, quelle que soit la durée de son séjour. Est considérée comme activité lucrative toute activité salariale ou indépendante qui procure normalement un gain, même si elle est exercée gratuitement (art. 11 al. 2 LEI).</w:t>
      </w:r>
    </w:p>
    <w:p>
      <w:r>
        <w:rPr>
          <w:b/>
        </w:rPr>
        <w:t>E. 6.1</w:t>
      </w:r>
    </w:p>
    <w:p>
      <w:r>
        <w:t>Selon l'art. 67 al. 2 let. a LEI,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LEtr, FF 2002 3469, 3568 ; voir également ATAF 2017 VII/2 consid. 4.4 et 6.4).</w:t>
      </w:r>
    </w:p>
    <w:p>
      <w:r>
        <w:rPr>
          <w:b/>
        </w:rPr>
        <w:t>E. 6.2</w:t>
      </w:r>
    </w:p>
    <w:p>
      <w:r>
        <w:t>En vertu de l'art. 77a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F-6546/2017 du 10 août 2018 consid. 4.2 et les réf. cit.).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6.3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7</w:t>
      </w:r>
    </w:p>
    <w:p>
      <w:r>
        <w:t>Dans un premier temps, il convient d'examiner si le prononcé d'une interdiction d'entrée en Suisse et au Liechtenstein à l'encontre de l'intéressé est justifié dans son principe.</w:t>
      </w:r>
    </w:p>
    <w:p>
      <w:r>
        <w:rPr>
          <w:b/>
        </w:rPr>
        <w:t>E. 7.1</w:t>
      </w:r>
    </w:p>
    <w:p>
      <w:r>
        <w:t>Le SEM a rendu sa décision d'interdiction d'entrée sur la base de l'infraction au droit des étrangers commise par le recourant. Plus précisément, il est reproché au recourant d'avoir exercé une activité lucrative sans autorisation idoine. Le SEM a relevé, dans la motivation de la décision litigieuse, que le prénommé a été condamné par l'ordonnance pénale, le 9 novembre 2018, à une peine pécuniaire de 30 jours-amende à 50 francs pour avoir travaillé au noir pendant environ deux mois à Genève sans autorisation. Le recourant, quant à lui, s'est plaint qu'une décision d'interdiction d'entrée en Suisse et dans tout l'Espace Schengen a été prononcée à son encontre pour une durée de 3 ans alors qu'il ne savait pas qu'il ne disposait pas de l'autorisation nécessaire pour travailler en Suisse car son employeur ne l'en avait pas informé. Il s'est de plus excusé de cette erreur (« Fehler ») qu'il a motivée par des raisons économiques (« aus wirtschaftlichen Gründen »).</w:t>
      </w:r>
    </w:p>
    <w:p>
      <w:r>
        <w:rPr>
          <w:b/>
        </w:rPr>
        <w:t>E. 7.2</w:t>
      </w:r>
    </w:p>
    <w:p>
      <w:r>
        <w:t>Aux termes de l'art. 77a al. 1 let. a OASA, il y a notamment atteinte à la sécurité et à l'ordre publics en cas de violation de prescriptions légales ou de décisions d'autorités. Or, le recourant a admis, lorsqu'il a été auditionné le 9 novembre 2018 par la police judiciaire genevoise, avoir travaillé illégalement sur des chantiers à Genève et perçu un salaire mensuel de 2'500 à 3'000 francs (cf. pce SEM Act. 2 p. 45 et p. 58). Il a par ailleurs été condamné par ordonnance pénale du 9 novembre 2018 pour avoir exercé une activité lucrative sans autorisation idoine. En sus, dans la mesure où l'intéressé n'a pas fait opposition contre ladite ordonnance, cette décision est entrée en force de chose jugée. L'infraction a ainsi été consommée. Dès lors, force est de constater que les faits qui sont reprochés à l'intéressé constituent bien une violation des prescriptions légales qui peut être qualifiée de grave (cf. arrêt du TAF F-2581/2016 du 21 février 2018 consid. 5.4.2 ; supra consid. 6.2).</w:t>
      </w:r>
    </w:p>
    <w:p>
      <w:r>
        <w:rPr>
          <w:b/>
        </w:rPr>
        <w:t>E. 7.3</w:t>
      </w:r>
    </w:p>
    <w:p>
      <w:r>
        <w:t>Au vu de ce qui précède, l'argumentaire du recourant tendant à relativiser la gravité des faits retenus à son encontre et, par-là, à démontrer que les conditions de l'art. 67 LEI ne sont pas réalisées tombent à faux. On rappellera que l'intéressé a lui-même déclaré lors de son audition avec la police qu'il travaillait au noir, ce qui confirme qu'il était au fait de sa situation juridique (cf. pce SEM p. 48). Par ailleurs, il a également confirmé que son employeur n'avait pas fait de demande d'autorisation de travail auprès de l'Office cantonal de la population et des migrations (cf. pce SEM p. 40). Il n'a de plus jamais invoqué, avant son recours du 27 février 2019, l'argument selon lequel son employeur ne lui aurait pas communiqué cette information. De surcroît, nul n'étant censé ignorer la loi, il lui appartenait d'entreprendre en cas de doute les démarches nécessaires pour s'assurer qu'il disposait de l'autorisation idoine (cf., en ce sens, arrêt du TAF F-4904/2018 du 21 mai 2019 consid. 5.4).</w:t>
      </w:r>
    </w:p>
    <w:p>
      <w:r>
        <w:rPr>
          <w:b/>
        </w:rPr>
        <w:t>E. 7.4</w:t>
      </w:r>
    </w:p>
    <w:p>
      <w:r>
        <w:t>En conclusion, le recourant a travaillé en Suisse sans autorisation et a donc enfreint les prescriptions en matière de droit des étrangers, portant ainsi atteinte à la sécurité et à l'ordre publics suisses. Partant, la décision d'interdiction d'entrée prononcée à l'encontre de l'intéressé est justifiée dans son principe.</w:t>
      </w:r>
    </w:p>
    <w:p>
      <w:r>
        <w:rPr>
          <w:b/>
        </w:rPr>
        <w:t>E. 8</w:t>
      </w:r>
    </w:p>
    <w:p>
      <w:r>
        <w:t>Il convient encore d'examiner si la mesure d'éloignement prise par l'autorité intimée satisfait aux principes de la proportionnalité et de l'égalité de traitement.</w:t>
      </w:r>
    </w:p>
    <w:p>
      <w:r>
        <w:rPr>
          <w:b/>
        </w:rPr>
        <w:t>E. 8.1</w:t>
      </w:r>
    </w:p>
    <w:p>
      <w:r>
        <w:t>Lorsque l'autorité administrative prononce une interdiction d'entrée, elle doit en effet respecter les principes susmentionnés et s'interdire tout arbitraire (cf. à ce sujet, à titre d'exemples, arrêts du TAF F-1519/2017 du 10 avril 2019 consid. 9.1 et F-1061/2018 du 11 mars 2019 consid. 6.1).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F-5267/2015 du 18 août 2016 consid. 6.1 et la réf. cit.).</w:t>
      </w:r>
    </w:p>
    <w:p>
      <w:r>
        <w:rPr>
          <w:b/>
        </w:rPr>
        <w:t>E. 8.2</w:t>
      </w:r>
    </w:p>
    <w:p>
      <w:r>
        <w:t>S'agissant de l'intérêt public à l'éloignement de Suisse du recourant, le Tribunal rappelle que les motifs retenus à l'appui de la mesure d'éloignement ne sauraient être contestés (cf. supra consid. 7). Les arguments soulevés par le recourant ne sont en effet pas suffisants pour remettre en cause l'infraction commise, soit l'exercice d'une activité lucrative sans autorisation, au sens de l'art. 115 al. 1 let. c LEI, à tout le moins entre septembre 2018 et le 8 novembre 2018, cette dernière ayant de surcroît fait l'objet de l'ordonnance pénale du 9 novembre 2018, entrée en force de chose jugée. A ce titre, relevons que le recourant a été condamné, par cette ordonnance, à une peine pécuniaire de 30 jours-amende à 50 francs. Selon la jurisprudence administrative, dite infraction doit être qualifiée de grave (cf. supra consid. 6.2). On entend par travail au noir, notamment, le fait d'exercer une activité salariée ou indépendante en violation des prescriptions légales, en particulier des dispositions du droit des étrangers (cf. Message du 16 janvier 2002 concernant la loi fédérale contre le travail au noir, FF 2002 3371, 3374 ; Travail au noir, site internet du SEM : www.sem.admin.ch Entrée et séjour Travail / Permis de travail Travail au noir, consulté en décembre 2019).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 137 IV 153 consid. 1.4 et 1.7). On rappellera ensuite qu'en vertu du principe de la séparation des pouvoirs, l'autorité de police des étrangers n'est pas liée par les décisions prises en matière pénale. Dans le cadre de la balance des intérêts en présence, elle s'inspire en effet de considérations différentes de celles qui guident le juge pénal. Alors que des considérations tirées des perspectives de réinsertion sociale du condamné constituent un élément central pour le juge pénal, c'est en revanche la préoccupation de l'ordre et de la sécurité publics qui est prépondérante en matière de police des étrangers. L'appréciation émise par l'autorité de police des étrangers peut donc s'avérer plus rigoureuse pour l'étranger concerné que celle du juge pénal (cf. ATF 140 I 145 consid. 4.3, 137 II 233 consid. 5.2.2, 130 II 493 consid. 4.2, et les réf. cit.). En principe, les ressortissants nord-macédoniens, détenteurs d'un passeport biométrique, peuvent séjourner en Suisse 90 jours au plus, pour des motifs touristiques ou de visite, sans être au bénéfice d'un visa (cf. Annexe I du règlement [CE] n° 539/2001 du Conseil du 15 mars, remplacé par le Règlement [UE] 2018/1806 du Parlement européen et du Conseil du 14 novembre 2018 [JO L 303 du 28 novembre 2018, p. 39-58], qui ne se distingue pas de sa version antérieure sur ce point ; voir aussi le site internet du SEM : www.sem.admin.ch Entrée &amp; séjour Entrée Directives Visas VII. Visas Séjour jusqu'à 90 jours Annexe 1, liste 1 : Prescriptions documents de voyage et de visas selon nationalité Macédoine du Nord ; version du 11 septembre 2019 ; site internet consulté en décembre 2019). Cependant, les personnes désireuses d'exercer une activité lucrative restent soumis à l'obligation de visa (cf. Annexe 1, liste 1 : nationalité Annexe 1, liste 1 : Prescriptions en matière de documents de voyage et de visas selon la nationalité, version du 11 septembre 2019, consulté en décembre 2019). Ainsi, en ayant travaillé sur des chantiers, l'intéressé devait être muni d'un visa pour entrer et séjourner sur le territoire helvétique (cf. arrêt du TAF F-6746/2017 du 3 septembre 2019 consid. 6.6). Il y a dès lors lieu de retenir que l'intéressé, en se rendant pendant deux mois plusieurs fois par semaine en Suisse dans le seul but d'y travailler, a également enfreint l'art. 10 al. 1 et 2 LEI relatif à l'entrée illégale et au séjour illégal. Compte tenu de l'ensemble des éléments qui précèdent, l'intérêt public à l'éloignement du recourant de Suisse doit donc être qualifié d'important.</w:t>
      </w:r>
    </w:p>
    <w:p>
      <w:r>
        <w:rPr>
          <w:b/>
        </w:rPr>
        <w:t>E. 8.3</w:t>
      </w:r>
    </w:p>
    <w:p>
      <w:r>
        <w:t>En revanche, le recourant, se prévalant de son droit de circuler librement dans l'Espace Schengen, y compris en Suisse, d'y vivre librement et d'y travailler, n'a pas fait valoir des intérêts privés susceptibles d'être déterminants dans la pesée des intérêts en présence. Il n'a en particulier pas allégué disposer en Suisse d'attaches familiales étroites ou d'autres liens de nature à revêtir une importance prépondérante dans l'analyse de la proportionnalité de la décision entreprise, son cousin résidant en France et sa famille en Macédoine du Nord (cf. pce SEM Act. 2 p. 44-45).</w:t>
      </w:r>
    </w:p>
    <w:p>
      <w:r>
        <w:rPr>
          <w:b/>
        </w:rPr>
        <w:t>E. 8.4</w:t>
      </w:r>
    </w:p>
    <w:p>
      <w:r>
        <w:t>Dans ces conditions, il sied de retenir que l'intérêt public à l'éloignement du recourant de Suisse l'emporte sur son intérêt privé à pouvoir revenir librement sur le territoire helvétique. Partant, le Tribunal arrive à la conclusion que la mesure d'éloignement prise par l'autorité inférieure le 4 janvier 2019 est nécessaire et adéquate afin de prévenir toute nouvelle atteinte à la sécurité et à l'ordre publics en Suisse. En outre, la durée de la mesure respecte le principe de proportionnalité et correspond à celle prononcée dans des cas analogues (cf. arrêts du TAF F-373/2018 du 5 février 2019 et F-4873/2018 du 9 juillet 2019).</w:t>
      </w:r>
    </w:p>
    <w:p>
      <w:r>
        <w:rPr>
          <w:b/>
        </w:rPr>
        <w:t>E. 8.5</w:t>
      </w:r>
    </w:p>
    <w:p>
      <w:r>
        <w:t>Enfin, il n'existe pas de raisons humanitaires ou d'autres motifs importants justifiant l'abstention ou la suspension de la mesure d'éloignement au sens de l'art. 67 al. 5 LEI.</w:t>
      </w:r>
    </w:p>
    <w:p>
      <w:r>
        <w:rPr>
          <w:b/>
        </w:rPr>
        <w:t>E. 9</w:t>
      </w:r>
    </w:p>
    <w:p>
      <w:r>
        <w:t>Le SEM a par ailleurs ordonné l'inscription de l'interdiction d'entrée dans le SIS. En raison de ce signalement, il est interdit au recourant de pénétrer dans l'Espace Schengen.</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9.2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10</w:t>
      </w:r>
    </w:p>
    <w:p>
      <w:r>
        <w:t>Au vu de ce qui précède, le Tribunal considère que l'autorité inférieure, par sa décision du 4 janvier 2019, n'a ni violé le droit fédéral ni constaté des faits pertinents de manière inexacte ou incomplète. En outre, la décision n'est pas inopportune (art. 49 PA). Le recours est par conséquent rejeté.</w:t>
      </w:r>
    </w:p>
    <w:p>
      <w:r>
        <w:rPr>
          <w:b/>
        </w:rPr>
        <w:t>E. 11</w:t>
      </w:r>
    </w:p>
    <w:p>
      <w:r>
        <w:t>Au vu de l'issue du litige, il y a lieu de mettre les frais de procédure à la charge du recourant, en application de l'art. 63 al. 1 PA en relation avec les art. 1 à 3 du règlement du 21 février 2008 concernant les frais, dépens et indemnités fixés par le Tribunal administratif fédéral (FITAF, RS 173.320.2). Vu l'issue de la cause, il n'y a pas lieu d'allouer des dépens (cf. art. 64 al. 1 PA a contrario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