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F-1075/2026 vom 23. Februar 2026</w:t>
      </w:r>
    </w:p>
    <w:p>
      <w:r>
        <w:t>Bundesverwaltungsgericht, 2026-02-23, DE</w:t>
      </w:r>
    </w:p>
    <w:p>
      <w:r>
        <w:rPr>
          <w:b/>
        </w:rPr>
        <w:t xml:space="preserve">Quelle: </w:t>
      </w:r>
      <w:r>
        <w:t>https://mcp.opencaselaw.ch/entscheid/bvger_F-1075_2026</w:t>
      </w:r>
    </w:p>
    <w:p>
      <w:r>
        <w:t>FR: TAF F-1075/2026 du 23 février 2026</w:t>
      </w:r>
    </w:p>
    <w:p>
      <w:r>
        <w:t>IT: TAF F-1075/2026 del 23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Auf die Durchführung eines Schriftenwechsels wurde verzichtet (Art. 111a Abs. 1 AsylG).</w:t>
      </w:r>
    </w:p>
    <w:p>
      <w:r>
        <w:rPr>
          <w:b/>
        </w:rPr>
        <w:t>E. 2</w:t>
      </w:r>
    </w:p>
    <w:p>
      <w:r>
        <w:t>Die Vorinstanz hat korrekt erwogen, dass es sich bei Griechenland - als Mitglied der Europäischen Union (EU) - um einen sicheren Drittstaat im Sinn von Art. 6a Abs. 2 Bst. b AsylG handelt, die Beschwerdeführenden in Griechenland als Flüchtlinge anerkannt wurden und die Zustimmung der griechischen Behörden zur Rückübernahme vorliegt. Sie ist demnach zu Recht in Anwendung von Art. 31a Abs. 1 Bst. a AsylG auf die Asylgesuche nicht eingetreten und hat zu Recht in Anwendung von Art. 44 erster Satz AsylG die Wegweisung angeordnet.</w:t>
      </w:r>
    </w:p>
    <w:p>
      <w:r>
        <w:rPr>
          <w:b/>
        </w:rPr>
        <w:t>E. 3.1</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13 VwVG, Art. 8 AsylG).</w:t>
      </w:r>
    </w:p>
    <w:p>
      <w:r>
        <w:rPr>
          <w:b/>
        </w:rPr>
        <w:t>E. 3.2</w:t>
      </w:r>
    </w:p>
    <w:p>
      <w:r>
        <w:t>Ist der Vollzug der Wegweisung nicht zulässig, nicht zumutbar oder nicht möglich, so verfügt das SEM die vorläufige Aufnahme (Art. 83 Abs. 1 AIG [SR 142.20] i.V.m. Art. 44 zweiter Satz AsylG).</w:t>
      </w:r>
    </w:p>
    <w:p>
      <w:r>
        <w:rPr>
          <w:b/>
        </w:rPr>
        <w:t>E. 3.3</w:t>
      </w:r>
    </w:p>
    <w:p>
      <w:r>
        <w:t>Gemäss Art. 83 Abs. 5 AIG ist eine Wegweisung in einen EU- oder EFTA-Staat vermutungsweise zumutbar (vgl. Urteil des BVGer E-3427/2021 vom 28. März 2022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Die gesetzliche Vermutung der Zumutbarkeit des Vollzugs der Wegweisung gilt grundsätzlich auch für vulnerable Personen, wie zum Beispiel Schwangere oder Personen, welche an gesundheitlichen Problemen leiden, die nicht als schwerwiegende Erkrankung einzustufen sind (vgl. a.a.O. E. 11.5.1; bestätigt mit Urteil des BVGer D-2590/2025 vom 11. September 2025 E. 8.2 [als Referenzurteil publiziert]). Das Gericht erachtet hingegen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a.a.O. E. 11.5.3).</w:t>
      </w:r>
    </w:p>
    <w:p>
      <w:r>
        <w:rPr>
          <w:b/>
        </w:rPr>
        <w:t>E. 3.4</w:t>
      </w:r>
    </w:p>
    <w:p>
      <w:r>
        <w:t>Im Licht dieser Rechtsprechung ist - mit Blick auf die Frage der vollständigen Feststellung des rechtserheblichen medizinischen Sachverhalts - ausschlaggebend, ob der Beschwerdeführer 3 als äusserst verletzlich zu bezeichnen ist, und die Vorinstanz deshalb gehalten gewesen wäre, vertiefte Abklärungen zum Bestehen allfälliger besonders begünstigender Faktoren vorzunehmen (vgl. Urteile des BVGer D-2404/2023 vom 1. Mai 2024 E. 4.3; D-4560/2021 vom 1. Juli 2022 E. 4.4).</w:t>
      </w:r>
    </w:p>
    <w:p>
      <w:r>
        <w:rPr>
          <w:b/>
        </w:rPr>
        <w:t>E. 4.1</w:t>
      </w:r>
    </w:p>
    <w:p>
      <w:r>
        <w:t>Gemäss dem Bericht von E._______ vom (...) Januar 2026 wurden beim (...) Beschwerdeführer 3 eine globale Entwicklungsverzögerung, Verhaltensauffälligkeiten Differentialdiagnose Autismusspektrum und eine Essstörung diagnostiziert. Aus dem auf Beschwerdeebene eingereichten Bericht von Dr. med. F._______ vom (...) Februar 2026 geht hervor, dass beim Beschwerdeführer 3 kombinierte umschriebene Entwicklungsverzögerungen mit/bei einer Sprachentwicklungsstörung, einer nonverbal-kognitiven Entwicklungsretardierung, einer feinmotorischen Ungeschicklichkeit und deutlichen Hinweisen auf das Vorliegen einer Autismusspektrumstörung (ASS) bestehen. Dringend indiziert wird eine heilpädagogische Früherziehung und empfohlen werden Logopädie und eine ASS-spezifische Diagnostik, um die Diagnose zu sichern.</w:t>
      </w:r>
    </w:p>
    <w:p>
      <w:r>
        <w:rPr>
          <w:b/>
        </w:rPr>
        <w:t>E. 4.2</w:t>
      </w:r>
    </w:p>
    <w:p>
      <w:r>
        <w:t>Aus dem Gesagten geht hervor, dass nicht abschliessend geklärt ist, ob der Beschwerdeführer 3 tatsächlich an ASS leidet und falls ja, in welcher Ausprägung, zumal eine ASS sehr unterschiedliche Schweregrade haben kann. Entsprechend ist auch nicht erkennbar, welcher Unterstützungsmassnahmen er konkret bedarf. Somit kann auch die Frage nicht beantwortet werden, ob es sich bei ihm um eine vulnerable oder eine äusserst vulnerable Person im Sinn der Rechtsprechung (s. E. 3.3) handelt und ob es folglich besonders begünstigender Umstände bedarf, um von der Zumutbarkeit des Wegweisungsvollzugs nach Griechenland ausgehen zu können. Diesfalls wären von der Vorinstanz vertiefte Abklärungen insbesondere zum tatsächlichen Zugang zu den benötigten Gesundheitsleistungen und heilpädagogischen Angeboten vorzunehmen.</w:t>
      </w:r>
    </w:p>
    <w:p>
      <w:r>
        <w:rPr>
          <w:b/>
        </w:rPr>
        <w:t>E. 4.3</w:t>
      </w:r>
    </w:p>
    <w:p>
      <w:r>
        <w:t>Zusammenfassend hat die Vorinstanz den rechtserheblichen Sachverhalt unvollständig erstellt. Die Beschwerde ist insofern gutzuheissen, als die angefochtene Verfügung im Wegweisungsvollzugspunkt (Dispositivziffern 3-4 der angefochtenen Verfügung) aufzuheben und die Sache im Sinn der vorangehenden Erwägungen zur weiteren Sachverhaltsabklärung und neuen Entscheidung an die Vorinstanz zurückzuweisen ist. Im Übrigen ist die Beschwerde abzuweisen. Die Vorinstanz wird den gesundheitlichen Zustand des Beschwerdeführers 3 vertieft abzuklären (insbesondere konkrete Diagnose, derzeitige und künftig allenfalls notwendigen Therapie und Unterstützungsmassnahmen) und darauf basierend die Frage zu beantworten haben, ob es sich bei ihm um eine äusserst vulnerable Person im Sinn der Rechtsprechung (s. E. 3.3) handelt. Gegebenenfalls wird sie zu prüfen haben, ob in Bezug auf die Beschwerdeführenden besonders begünstigende Umstände vorliegen, die den Vollzug der Wegweisung nach Griechenland als zumutbar erscheinen lassen würden.</w:t>
      </w:r>
    </w:p>
    <w:p>
      <w:r>
        <w:rPr>
          <w:b/>
        </w:rPr>
        <w:t>E. 5.1</w:t>
      </w:r>
    </w:p>
    <w:p>
      <w:r>
        <w:t>Bei diesem Ausgang des Verfahrens sind den Beschwerdeführenden keine Kosten aufzuerlegen (Art. 63 Abs. 1 VwVG). Das Gesuch um Gewährung der unentgeltlichen Prozessführung (Art. 65 Abs. 1 VwVG) ist gegenstandslos geworden.</w:t>
      </w:r>
    </w:p>
    <w:p>
      <w:r>
        <w:rPr>
          <w:b/>
        </w:rPr>
        <w:t>E. 5.2</w:t>
      </w:r>
    </w:p>
    <w:p>
      <w:r>
        <w:t>Den Beschwerdeführenden ist keine Parteientschädigung auszurichten, da es sich vorliegend um eine zugewiesene unentgeltliche Rechtsvertretung im Sinn von Art. 102h AsylG handelt, deren Leistungen vom Bund nach Massgabe von Art. 102k AsylG entschädigt werden (vgl. auch Art. 111ater AsylG).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