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F-106/2022 vom 30. Dezember 2021</w:t>
      </w:r>
    </w:p>
    <w:p>
      <w:r>
        <w:t>Bundesverwaltungsgericht, 2021-12-30, DE</w:t>
      </w:r>
    </w:p>
    <w:p>
      <w:r>
        <w:rPr>
          <w:b/>
        </w:rPr>
        <w:t xml:space="preserve">Quelle: </w:t>
      </w:r>
      <w:r>
        <w:t>https://mcp.opencaselaw.ch/entscheid/bvger_F-106_2022_d20211230</w:t>
      </w:r>
    </w:p>
    <w:p>
      <w:r>
        <w:t>FR: TAF F-106/2022 du 30 décembre 2021</w:t>
      </w:r>
    </w:p>
    <w:p>
      <w:r>
        <w:t>IT: TAF F-106/2022 del 30 dicembre 2021</w:t>
      </w:r>
    </w:p>
    <w:p>
      <w:pPr>
        <w:pStyle w:val="Heading2"/>
      </w:pPr>
      <w:r>
        <w:t>Regeste</w:t>
      </w:r>
    </w:p>
    <w:p>
      <w:r>
        <w:t>Nichteintreten auf Asylgesuch und Wegweisung (Dublin-Verfahren) | Nichteintreten auf Asylgesuch und Wegweisung (Dublin-Verfahren); Verfügung des SEM vom 30. Dezember 2021</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 scher Begründung, zu behandeln ist (Art. 111a Abs. 1 und 2 AsylG).</w:t>
      </w:r>
    </w:p>
    <w:p>
      <w:r>
        <w:t>F-106/2022 Seite 4</w:t>
      </w:r>
    </w:p>
    <w:p>
      <w:r>
        <w:rPr>
          <w:b/>
        </w:rPr>
        <w:t>E. 3.1</w:t>
      </w:r>
    </w:p>
    <w:p>
      <w:r>
        <w:t>Der Beschwerdeführer rügt, die Vorinstanz habe den rechtserheblichen Sachverhalt unvollständig festgestellt, indem sie sich nicht mit der aktuel- len Berichterstattung sowie der Rechtsprechung des Bundesverwaltungs- gerichts und des Europäischen Gerichtshofes zu Bulgarien auseinander- gesetzt habe.</w:t>
      </w:r>
    </w:p>
    <w:p>
      <w:r>
        <w:rPr>
          <w:b/>
        </w:rPr>
        <w:t>E. 3.1.1</w:t>
      </w:r>
    </w:p>
    <w:p>
      <w:r>
        <w:t>Der Untersuchungsgrundsatz betrifft die Abklärungspflicht der Be- hörde. Der entsprechende Beschwerdegrund erscheint in der Variante «un- vollständige Feststellung des rechtserheblichen Sachverhaltes» in Art. 49 Bst. b VwVG. Er ist erfüllt, wenn die Behörde den Sachverhalt nicht von Amtes wegen abgeklärt, oder nicht alle für den Entscheid wesentlichen Sa- chumstände berücksichtigt hat (vgl. BENJAMIN SCHINDLER, in: Kommentar zum VwVG, 2. Aufl. 2019, Art. 49 N. 29). Die Rüge, wonach die Vorinstanz sich nicht mit aktuellen Lageberichten auseinandergesetzt habe, gehört nicht zum Untersuchungsgrundsatz, sondern zur Pflicht der «richtigen» Sachverhaltsfeststellung (der entsprechende Beschwerdegrund erscheint in der ersten Variante von Art. 49 Bst. b VwVG). Diese umfasst die Pflicht der Behörde, die (erhobenen oder dargebotenen) Beweise korrekt zu wür- digen und die entsprechenden Tatsachen dem Entscheid zugrunde zu le- gen. Anders als bei der Verletzung des Untersuchungsgrundsatzes handelt es sich bei der Rüge der unrichtigen Feststellung des rechtserheblichen Sachverhaltes nicht um eine formelle Rüge, welche ungeachtet der Erfolg- saussichten zur Aufhebung des Entscheids führt, sondern um eine materi- elle Rüge, die an entsprechender Stelle zu prüfen ist.</w:t>
      </w:r>
    </w:p>
    <w:p>
      <w:r>
        <w:rPr>
          <w:b/>
        </w:rPr>
        <w:t>E. 3.1.2</w:t>
      </w:r>
    </w:p>
    <w:p>
      <w:r>
        <w:t>Die Auseinandersetzung mit der Rechtsprechung gehört nicht zur Sachverhaltsfeststellung, sondern zur Rechtsanwendung. Die Rüge ist an entsprechender Stelle zu prüfen.</w:t>
      </w:r>
    </w:p>
    <w:p>
      <w:r>
        <w:rPr>
          <w:b/>
        </w:rPr>
        <w:t>E. 3.2</w:t>
      </w:r>
    </w:p>
    <w:p>
      <w:r>
        <w:t>Der Beschwerdeführer moniert, die Vorinstanz habe seine Vorbringen gegen eine Überstellung nach Bulgarien (u.a. Misshandlung durch die Po- lizei, schlechte Unterbringung, fehlende medizinische Versorgung) in der Verfügung nicht erwähnt und geprüft. Dadurch habe sie das rechtliche Ge- hör verletzt.</w:t>
      </w:r>
    </w:p>
    <w:p>
      <w:r>
        <w:rPr>
          <w:b/>
        </w:rPr>
        <w:t>E. 3.2.1</w:t>
      </w:r>
    </w:p>
    <w:p>
      <w:r>
        <w:t>Der Anspruch auf rechtliches Gehör nach Art. 29 Abs. 2 BV umfasst alle Befugnisse, die einer Partei einzuräumen sind, damit sie in einem Ver- fahren ihren Standpunkt wirksam zur Geltung bringen kann (BGE 144 II 427 E. 3.1). Dem Gehörsanspruch entspricht die Pflicht der Behörden, die</w:t>
      </w:r>
    </w:p>
    <w:p>
      <w:r>
        <w:t>F-106/2022 Seite 5 Vorbringen tatsächlich zu hören, ernsthaft zu prüfen und in ihrer Entscheid- findung angemessen zu berücksichtigen. Nicht erforderlich ist, dass sich die Vorinstanz in ihrer Begründung mit allen Parteistandpunkten einlässlich auseinandersetzt und jedes einzelne Vorbringen ausdrücklich widerlegt (Urteil des BGer 1C_272/2020 vom 22. Januar 2021 E. 3.2). Eine nicht besonders schwerwiegende Verletzung des rechtlichen Gehörs kann ausnahmsweise als geheilt gelten, wenn die betroffene Person die Möglichkeit erhält, sich vor einer Rechtsmittelinstanz zu äussern, die so- wohl den Sachverhalt als auch die Rechtslage frei überprüfen kann. Unter dieser Voraussetzung ist darüber hinaus – im Sinne einer Heilung des Man- gels – selbst bei einer schwerwiegenden Verletzung des Anspruchs auf rechtliches Gehör von einer Rückweisung der Sache an die Vorinstanz ab- zusehen, wenn die Rückweisung zu einem formalistischen Leerlauf und damit zu unnötigen Verzögerungen führen würde, die mit dem Interesse der betroffenen Partei an einer beförderlichen Beurteilung der Sache nicht zu vereinbaren wären (BGE 142 II 218 E. 2.8.1; 137 I 195 E. 2.3.2; 136 V 117 E. 4.2.2.2; 133 I 201 E. 2.2).</w:t>
      </w:r>
    </w:p>
    <w:p>
      <w:r>
        <w:rPr>
          <w:b/>
        </w:rPr>
        <w:t>E. 3.2.2</w:t>
      </w:r>
    </w:p>
    <w:p>
      <w:r>
        <w:t>Die Vorinstanz erwähnte in der Verfügung, dass der Beschwerde- führer zwei Cousins in der Schweiz hat und die Schweiz das Zielland ge- wesen sei. Sie unterliess es indes, die von ihm vorgebrachten Mängel in der Unterbringung und Versorgung in Bulgarien aufzuführen und zu prüfen. Sie begnügte sich mit der Wiedergabe der herrschenden Rechtsprechung zu Bulgarien. Dadurch hat sie ihre Begründungspflicht und somit den An- spruch des Beschwerdeführers auf rechtliches Gehör – wenn auch nicht in schwerwiegender Weise – verletzt. In der Beschwerdeschrift hat sich der Beschwerdeführer ausführlich zu allfälligen Mängeln im bulgarischen Asyl- verfahren und Aufnahmesystem geäussert. Unter diesem Umstand sowie angesichts der Tatsache, dass das Bundesverwaltungsgericht über volle Kognition verfügt und eine Rückweisung an die Vorinstanz zu einem for- malistischen Leerlauf führen würde, ist die Gehörsverletzung als geheilt zu betrachten.</w:t>
      </w:r>
    </w:p>
    <w:p>
      <w:r>
        <w:rPr>
          <w:b/>
        </w:rPr>
        <w:t>E. 3.3</w:t>
      </w:r>
    </w:p>
    <w:p>
      <w:r>
        <w:t>Die Rüge der Gehörsverletzung erweist sich angesichts dieser Sach- lage als unbegründet, weshalb keine Veranlassung besteht, die angefoch- tene Verfügung aufzuheben und die Sache an die Vorinstanz zurückzuwei- sen. Das entsprechende Rechtsbegehren ist somit abzuweisen.</w:t>
      </w:r>
    </w:p>
    <w:p>
      <w:r>
        <w:t>F-106/2022 Seite 6</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 Die bulgarischen Behörden liessen das Übernahmeersuchen der Vor- instanz innert der in Art. 25 Abs. 1 Dublin-III-VO vorgesehenen Frist unbe- antwortet, womit sie die Zuständigkeit Bulgariens implizit anerkannten (Art. 25 Abs. 2 Dublin-III-VO). Die Zuständigkeit Bulgariens ist somit grund- sätzlich gegeben, was vom Beschwerdeführer nicht bestritten wird.</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w:t>
      </w:r>
    </w:p>
    <w:p>
      <w:r>
        <w:t>F-106/2022 Seite 7 er nach den in dieser Verordnung festgelegten Kriterien nicht für die Prü- fung zuständig ist (Art. 17 Abs. 1 erster Satz Dublin-III-VO). Dieses soge- 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 nisse vor, ist der Selbsteintritt zwingend (BVGE 2015/9 E. 8.2.1).</w:t>
      </w:r>
    </w:p>
    <w:p>
      <w:r>
        <w:rPr>
          <w:b/>
        </w:rPr>
        <w:t>E. 5.1</w:t>
      </w:r>
    </w:p>
    <w:p>
      <w:r>
        <w:t>Der Beschwerdeführer bringt vor, das bulgarische Aufnahmesystem und Asylverfahren wiesen systemische Mängel auf. Er sei zuerst in einer geschlossenen Unterkunft ohne medizinische Versorgung und mit knapper Nahrungsmittelversorgung untergebracht worden. Wenn er das Zimmer verlassen habe, sei er von Sicherheitskräften geschlagen worden. Zahlrei- che Berichte würden auf die desolate Situation der Asylsuchenden in Bul- garien hinweisen. Bei einer Rückkehr nach Bulgarien drohe ihm eine un- menschliche Behandlung. Die Schweizerische Flüchtlingshilfe rate in ei- nem Bericht aus dem Jahr 2019 von der Überstellung Asylsuchender nach Bulgarien ab, da wesentliche Mängel im bulgarischen Asylsystem vorlä- gen. Asylgesuche von gewissen Staatsangehörigen würden «quasi-sys- tématiquement» als unbegründet abgewiesen. So liege bei afghanischen Staatsangehörigen die Anerkennungsquote bei 1,5 %. Eine Kettenab- schiebung sei folglich nicht ausgeschlossen.</w:t>
      </w:r>
    </w:p>
    <w:p>
      <w:r>
        <w:rPr>
          <w:b/>
        </w:rPr>
        <w:t>E. 5.2</w:t>
      </w:r>
    </w:p>
    <w:p>
      <w:r>
        <w:t>Bulgarien ist Signatarstaat der EMRK, des Übereinkommens vom</w:t>
      </w:r>
    </w:p>
    <w:p>
      <w:r>
        <w:rPr>
          <w:b/>
        </w:rPr>
        <w:t>E. 5.3</w:t>
      </w:r>
    </w:p>
    <w:p>
      <w:r>
        <w:t>Das Bundesverwaltungsgericht hat sich im Referenzurteil F-7195/2018 vom 11. Februar 2020 ausführlich mit dem bulgarischen Asylsystem und der Situation asylsuchender Personen in Bulgarien auseinandergesetzt. Es hat festgehalten, dass das dortige Asylverfahren sowie die Aufnahmebe- dingungen zwar gewisse Mängel aufweisen würden, diese aber nicht sys- temischer Natur seien, weshalb von Überstellungen nach Bulgarien grund- sätzlich nicht abzusehen sei. Korrekte Asylverfahren seien in Bulgarien nicht systembedingt unmöglich.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Soweit der Beschwerdeführer rügt, die Vorinstanz habe sich mit der Rechtsprechung zu Bulgarien nicht auseinandergesetzt, ist darauf hinzuweisen, dass sie sich zwar nicht zu einzelnen Urteilen geäussert, aber die herrschende Rechtsprechung zu Bulgarien widergegeben hat. Im Übrigen bringt der Beschwerdeführer nichts vor, das Anlass zur Änderung der Rechtsprechung geben könnte. Eine Anwendung von Art. 3 Abs. 2 Dublin-III-VO ist daher nicht gerechtfer- tigt. 6. 6.1 Der Beschwerdeführer macht geltend, aufgrund der prekären Um- stände in Bulgarien drohe ihm bei einer Überstellung dorthin eine Verlet- zung von Art. 3 EMRK. Die Schweiz habe daher ihr Recht auf Selbsteintritt auszuüben. 6.2 Hinsichtlich der Lage in Bulgarien kann auf Erwägung 5.3 verwiesen werden. Der Beschwerdeführer machte weder im Dublin-Gespräch noch in der Beschwerde gesundheitliche Probleme geltend. Im Übrigen sind die Mitgliedstaaten verpflichtet, den Antragstellern die erforderliche medizini- sche Versorgung, die zumindest die Notversorgung und die unbedingt er- forderliche Behandlung von Krankheiten und schweren psychischen Stö- rungen umfasst, zugänglich zu machen (Art. 19 Abs. 1 der Richtlinien des Europäischen Parlaments und des Rates 2013/33/EU vom 26. Juni 2013 zur Festlegung von Normen für die Aufnahme von Personen, die internati- onalen Schutz beantragen [sog. Aufnahmerichtlinie]). Antragstellenden mit besonderen Bedürfnissen ist die erforderliche medizinische oder sonstige Hilfe, einschliesslich psychologischer Betreuung, zu gewähren (Art. 19 Abs. 2 Aufnahmerichtlinie). Es droht somit keine Verletzung von Art. 3</w:t>
      </w:r>
    </w:p>
    <w:p>
      <w:r>
        <w:t>F-106/2022 Seite 9 EMRK, weshalb die Schweiz nicht zum Selbsteintritt nach Art. 17 Abs. 1 Dublin-III-VO verpflichtet ist. Auch humanitäre Gründe i.S.v. Art. 29a Abs. 3 AsylV 1 liegen nicht vor. 7. Der Beschwerdeführer kann sich sodann nicht auf das Vorliegen eines Ab- hängigkeitsverhältnisses zu seinen minderjährigen Cousins gemäss Art. 16 Dublin-III-VO berufen. Das Abhängigkeitsverhältnis kann nur zwi- schen dem Antragsteller und seinen Kindern, Geschwistern oder Elterntei- len begründet werden und setzt eine bereits im Herkunftsland bestandene familiäre Bindung voraus (Art. 16 Abs. 1 Dublin-III-VO). Diese Vorausset- zungen sind nicht erfüllt. 8. Nach dem Gesagten ist die Beschwerde abzuweisen. Mit dem vorliegen- den Urteil fällt der am 11. Januar 2022 angeordnete Vollzugsstopp dahin. Das Gesuch um Erteilung der aufschiebenden Wirkung ist gegenstandslos geworden. 9. 9.1 Die Begehren erweisen sich als aussichtslos, weshalb das Gesuch um Gewährung der unentgeltlichen Prozessführung ungeachtet einer allfälli- gen prozessualen Bedürftigkeit abzuweisen ist (Art. 65 Abs. 1 VwVG). 9.2 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F-106/2022 Seite 10</w:t>
      </w:r>
    </w:p>
    <w:p>
      <w:r>
        <w:rPr>
          <w:b/>
        </w:rPr>
        <w:t>E. 6.1</w:t>
      </w:r>
    </w:p>
    <w:p>
      <w:r>
        <w:t>Der Beschwerdeführer macht geltend, aufgrund der prekären Umstände in Bulgarien drohe ihm bei einer Überstellung dorthin eine Verletzung von Art. 3 EMRK. Die Schweiz habe daher ihr Recht auf Selbsteintritt auszuüben.</w:t>
      </w:r>
    </w:p>
    <w:p>
      <w:r>
        <w:rPr>
          <w:b/>
        </w:rPr>
        <w:t>E. 6.2</w:t>
      </w:r>
    </w:p>
    <w:p>
      <w:r>
        <w:t>Hinsichtlich der Lage in Bulgarien kann auf Erwägung 5.3 verwiesen werden. Der Beschwerdeführer machte weder im Dublin-Gespräch noch in der Beschwerde gesundheitliche Probleme geltend. Im Übrigen sind die Mitgliedstaaten verpflichtet, den Antragstellern die erforderliche medizinische Versorgung, die zumindest die Notversorgung und die unbedingt erforderliche Behandlung von Krankheiten und schweren psychischen Störungen umfasst, zugänglich zu machen (Art. 19 Abs. 1 der Richtlinien des Europäischen Parlaments und des Rates 2013/33/EU vom 26. Juni 2013 zur Festlegung von Normen für die Aufnahme von Personen, die internationalen Schutz beantragen [sog. Aufnahmerichtlinie]). Antragstellenden mit besonderen Bedürfnissen ist die erforderliche medizinische oder sonstige Hilfe, einschliesslich psychologischer Betreuung, zu gewähren (Art. 19 Abs. 2 Aufnahmerichtlinie). Es droht somit keine Verletzung von Art. 3 EMRK, weshalb die Schweiz nicht zum Selbsteintritt nach Art. 17 Abs. 1 Dublin-III-VO verpflichtet ist. Auch humanitäre Gründe i.S.v. Art. 29a Abs. 3 AsylV 1 liegen nicht vor.</w:t>
      </w:r>
    </w:p>
    <w:p>
      <w:r>
        <w:rPr>
          <w:b/>
        </w:rPr>
        <w:t>E. 7</w:t>
      </w:r>
    </w:p>
    <w:p>
      <w:r>
        <w:t>Der Beschwerdeführer kann sich sodann nicht auf das Vorliegen eines Abhängigkeitsverhältnisses zu seinen minderjährigen Cousins gemäss Art. 16 Dublin-III-VO berufen. Das Abhängigkeitsverhältnis kann nur zwischen dem Antragsteller und seinen Kindern, Geschwistern oder Elternteilen begründet werden und setzt eine bereits im Herkunftsland bestandene familiäre Bindung voraus (Art. 16 Abs. 1 Dublin-III-VO). Diese Voraussetzungen sind nicht erfüllt.</w:t>
      </w:r>
    </w:p>
    <w:p>
      <w:r>
        <w:rPr>
          <w:b/>
        </w:rPr>
        <w:t>E. 8</w:t>
      </w:r>
    </w:p>
    <w:p>
      <w:r>
        <w:t>Nach dem Gesagten ist die Beschwerde abzuweisen. Mit dem vorliegenden Urteil fällt der am 11. Januar 2022 angeordnete Vollzugsstopp dahin. Das Gesuch um Erteilung der aufschiebenden Wirkung ist gegenstandslos geworden.</w:t>
      </w:r>
    </w:p>
    <w:p>
      <w:r>
        <w:rPr>
          <w:b/>
        </w:rPr>
        <w:t>E. 9.1</w:t>
      </w:r>
    </w:p>
    <w:p>
      <w:r>
        <w:t>Die Begehren erweisen sich als aussichtslos, weshalb das Gesuch um Gewährung der unentgeltlichen Prozessführung ungeachtet einer allfälligen prozessualen Bedürftigkeit abzuweisen ist (Art. 65 Abs. 1 VwVG).</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und kommt entsprechenden völkerrechtlichen Verpflichtun- gen nach. Es darf davon ausgegangen werden, dass dieser Staat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 anerkennt und schützt.</w:t>
      </w:r>
    </w:p>
    <w:p>
      <w:r>
        <w:t>F-106/2022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